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F000000">
      <w:pPr>
        <w:pStyle w:val="Style_2"/>
        <w:rPr>
          <w:rFonts w:ascii="Times New Roman" w:hAnsi="Times New Roman"/>
          <w:sz w:val="28"/>
        </w:rPr>
      </w:pPr>
      <w:r>
        <w:rPr>
          <w:rFonts w:ascii="Calibri" w:hAnsi="Calibri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-250478</wp:posOffset>
            </wp:positionH>
            <wp:positionV relativeFrom="paragraph">
              <wp:posOffset>6523</wp:posOffset>
            </wp:positionV>
            <wp:extent cx="1694179" cy="1544320"/>
            <wp:effectExtent b="0" l="0" r="0" t="0"/>
            <wp:wrapSquare distB="0" distL="114300" distR="114300" distT="0" wrapText="bothSides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1694179" cy="15443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768804</wp:posOffset>
                </wp:positionH>
                <wp:positionV relativeFrom="paragraph">
                  <wp:posOffset>135527</wp:posOffset>
                </wp:positionV>
                <wp:extent cx="5654221" cy="1379220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654221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00000">
                            <w:pPr>
                              <w:pStyle w:val="Style_3"/>
                              <w:tabs>
                                <w:tab w:leader="none" w:pos="5954" w:val="left"/>
                              </w:tabs>
                              <w:spacing w:after="0"/>
                              <w:ind w:firstLine="0" w:left="-426" w:right="2930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Уральский государственный юридический университет им. В. Ф. Яковлева (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УрГЮУ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 xml:space="preserve"> им. В. Ф.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Яковлева)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-113029</wp:posOffset>
            </wp:positionH>
            <wp:positionV relativeFrom="paragraph">
              <wp:posOffset>61595</wp:posOffset>
            </wp:positionV>
            <wp:extent cx="1421765" cy="1909445"/>
            <wp:effectExtent b="0" l="0" r="0" t="0"/>
            <wp:wrapSquare distB="0" distL="114300" distR="114300" distT="0" wrapText="bothSides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1421765" cy="190944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9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A000000">
      <w:pPr>
        <w:spacing w:after="0" w:line="240" w:lineRule="auto"/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899795</wp:posOffset>
                </wp:positionH>
                <wp:positionV relativeFrom="paragraph">
                  <wp:posOffset>67310</wp:posOffset>
                </wp:positionV>
                <wp:extent cx="5463540" cy="1379220"/>
                <wp:wrapNone/>
                <wp:docPr hidden="false" id="18" name="Picture 18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46354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00000">
                            <w:pPr>
                              <w:pStyle w:val="Style_3"/>
                              <w:spacing w:after="0"/>
                              <w:ind w:right="2558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 xml:space="preserve">Уральский филиал федерального государственного бюджетного научного учреждения «Исследовательский центр частного права имени С.С. Алексеева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при Президенте Российской Федерации» (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УрфИЦЧП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)</w:t>
                            </w:r>
                          </w:p>
                          <w:p w14:paraId="1C000000">
                            <w:pPr>
                              <w:pStyle w:val="Style_3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D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1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-20608</wp:posOffset>
            </wp:positionH>
            <wp:positionV relativeFrom="paragraph">
              <wp:posOffset>199159</wp:posOffset>
            </wp:positionV>
            <wp:extent cx="1249045" cy="1575435"/>
            <wp:effectExtent b="0" l="0" r="0" t="0"/>
            <wp:wrapSquare distB="0" distL="114300" distR="114300" distT="0" wrapText="bothSides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1249045" cy="15754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1184218</wp:posOffset>
                </wp:positionH>
                <wp:positionV relativeFrom="paragraph">
                  <wp:posOffset>5369</wp:posOffset>
                </wp:positionV>
                <wp:extent cx="5237018" cy="1379220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237018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00000">
                            <w:pPr>
                              <w:pStyle w:val="Style_3"/>
                              <w:tabs>
                                <w:tab w:leader="none" w:pos="5387" w:val="left"/>
                              </w:tabs>
                              <w:spacing w:after="0"/>
                              <w:ind w:right="2006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 xml:space="preserve">Академия управления </w:t>
                            </w:r>
                          </w:p>
                          <w:p w14:paraId="28000000">
                            <w:pPr>
                              <w:pStyle w:val="Style_3"/>
                              <w:tabs>
                                <w:tab w:leader="none" w:pos="5387" w:val="left"/>
                              </w:tabs>
                              <w:spacing w:after="0"/>
                              <w:ind w:right="2006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при Президенте Республики Беларусь</w:t>
                            </w:r>
                          </w:p>
                          <w:p w14:paraId="29000000">
                            <w:pPr>
                              <w:pStyle w:val="Style_3"/>
                              <w:tabs>
                                <w:tab w:leader="none" w:pos="5387" w:val="left"/>
                              </w:tabs>
                              <w:spacing w:after="0"/>
                              <w:ind w:right="2006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Институт управленческих кадров</w:t>
                            </w:r>
                          </w:p>
                          <w:p w14:paraId="2A000000">
                            <w:pPr>
                              <w:pStyle w:val="Style_3"/>
                              <w:tabs>
                                <w:tab w:leader="none" w:pos="5387" w:val="left"/>
                              </w:tabs>
                              <w:spacing w:after="0"/>
                              <w:ind w:right="2006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Кафедра гражданского и хозяйственного права</w:t>
                            </w:r>
                          </w:p>
                          <w:p w14:paraId="2B000000">
                            <w:pPr>
                              <w:pStyle w:val="Style_3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D000000">
      <w:pPr>
        <w:spacing w:after="0" w:line="360" w:lineRule="auto"/>
        <w:ind/>
        <w:rPr>
          <w:rFonts w:ascii="Times New Roman" w:hAnsi="Times New Roman"/>
          <w:sz w:val="28"/>
        </w:rPr>
      </w:pPr>
    </w:p>
    <w:p w14:paraId="2E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2F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30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-1454785</wp:posOffset>
            </wp:positionH>
            <wp:positionV relativeFrom="paragraph">
              <wp:posOffset>296545</wp:posOffset>
            </wp:positionV>
            <wp:extent cx="1632585" cy="1539875"/>
            <wp:effectExtent b="0" l="0" r="0" t="0"/>
            <wp:wrapSquare distB="0" distL="114300" distR="114300" distT="0" wrapText="bothSides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1632585" cy="15398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1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1171575</wp:posOffset>
                </wp:positionH>
                <wp:positionV relativeFrom="paragraph">
                  <wp:posOffset>249555</wp:posOffset>
                </wp:positionV>
                <wp:extent cx="3415030" cy="1054100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41503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00000">
                            <w:pPr>
                              <w:pStyle w:val="Style_3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 xml:space="preserve">Юридический факультет Российско-Таджикского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(Славянского) университета</w:t>
                            </w:r>
                          </w:p>
                          <w:p w14:paraId="33000000">
                            <w:pPr>
                              <w:pStyle w:val="Style_3"/>
                              <w:spacing w:after="0"/>
                              <w:ind w:right="1404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34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35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36000000">
      <w:pPr>
        <w:spacing w:after="0"/>
        <w:ind/>
        <w:rPr>
          <w:rFonts w:ascii="Times New Roman" w:hAnsi="Times New Roman"/>
          <w:sz w:val="28"/>
        </w:rPr>
      </w:pPr>
    </w:p>
    <w:p w14:paraId="37000000">
      <w:pPr>
        <w:spacing w:after="0"/>
        <w:ind/>
        <w:rPr>
          <w:rFonts w:ascii="Times New Roman" w:hAnsi="Times New Roman"/>
          <w:sz w:val="28"/>
        </w:rPr>
      </w:pPr>
    </w:p>
    <w:p w14:paraId="38000000">
      <w:pPr>
        <w:spacing w:after="0"/>
        <w:ind/>
        <w:rPr>
          <w:rFonts w:ascii="Times New Roman" w:hAnsi="Times New Roman"/>
          <w:sz w:val="28"/>
        </w:rPr>
      </w:pPr>
    </w:p>
    <w:p w14:paraId="39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1262380</wp:posOffset>
                </wp:positionH>
                <wp:positionV relativeFrom="paragraph">
                  <wp:posOffset>12065</wp:posOffset>
                </wp:positionV>
                <wp:extent cx="3926840" cy="1463040"/>
                <wp:wrapNone/>
                <wp:docPr hidden="false" id="25" name="Picture 2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92684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00000">
                            <w:pPr>
                              <w:pStyle w:val="Style_3"/>
                              <w:spacing w:after="0"/>
                              <w:ind w:right="1697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Российско-Армянский университет</w:t>
                            </w:r>
                          </w:p>
                          <w:p w14:paraId="3B000000">
                            <w:pPr>
                              <w:pStyle w:val="Style_3"/>
                              <w:spacing w:after="0"/>
                              <w:ind w:right="1697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Институт права и политики</w:t>
                            </w:r>
                          </w:p>
                          <w:p w14:paraId="3C000000">
                            <w:pPr>
                              <w:pStyle w:val="Style_3"/>
                              <w:spacing w:after="0"/>
                              <w:ind w:right="1697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 xml:space="preserve">Кафедра гражданского права </w:t>
                            </w:r>
                          </w:p>
                          <w:p w14:paraId="3D000000">
                            <w:pPr>
                              <w:pStyle w:val="Style_3"/>
                              <w:spacing w:after="0"/>
                              <w:ind w:right="1697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8"/>
                              </w:rPr>
                              <w:t>и гражданско-процессуального права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-253365</wp:posOffset>
            </wp:positionH>
            <wp:positionV relativeFrom="paragraph">
              <wp:posOffset>91440</wp:posOffset>
            </wp:positionV>
            <wp:extent cx="2002790" cy="1382395"/>
            <wp:effectExtent b="0" l="0" r="0" t="0"/>
            <wp:wrapSquare distB="0" distL="114300" distR="114300" distT="0" wrapText="bothSides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2002790" cy="13823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E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F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0000000">
      <w:pPr>
        <w:spacing w:after="0"/>
        <w:ind/>
        <w:rPr>
          <w:rFonts w:ascii="Times New Roman" w:hAnsi="Times New Roman"/>
          <w:b w:val="1"/>
          <w:sz w:val="28"/>
        </w:rPr>
      </w:pPr>
    </w:p>
    <w:p w14:paraId="41000000">
      <w:pPr>
        <w:sectPr>
          <w:headerReference r:id="rId9" w:type="default"/>
          <w:headerReference r:id="rId1" w:type="first"/>
          <w:headerReference r:id="rId3" w:type="even"/>
          <w:footerReference r:id="rId10" w:type="default"/>
          <w:footerReference r:id="rId2" w:type="first"/>
          <w:footerReference r:id="rId4" w:type="even"/>
          <w:pgSz w:h="16838" w:orient="portrait" w:w="11906"/>
          <w:pgMar w:bottom="1134" w:footer="708" w:gutter="0" w:header="708" w:left="1701" w:right="850" w:top="1134"/>
          <w:pgNumType w:start="1"/>
        </w:sectPr>
      </w:pPr>
    </w:p>
    <w:p w14:paraId="42000000">
      <w:pPr>
        <w:spacing w:after="0"/>
        <w:ind/>
        <w:jc w:val="center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b w:val="1"/>
          <w:color w:val="002060"/>
          <w:sz w:val="28"/>
        </w:rPr>
        <w:t>ИНФОРМАЦИОННОЕ ПИСЬМО</w:t>
      </w:r>
    </w:p>
    <w:p w14:paraId="43000000">
      <w:pPr>
        <w:spacing w:after="0" w:line="276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 xml:space="preserve">   </w:t>
      </w:r>
    </w:p>
    <w:p w14:paraId="44000000">
      <w:pPr>
        <w:spacing w:after="0" w:line="276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I. Общие положения</w:t>
      </w:r>
    </w:p>
    <w:p w14:paraId="45000000">
      <w:pPr>
        <w:spacing w:after="0" w:line="276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К юбилею кафедры гражданского права </w:t>
      </w:r>
      <w:r>
        <w:rPr>
          <w:rFonts w:ascii="Times New Roman" w:hAnsi="Times New Roman"/>
          <w:sz w:val="28"/>
        </w:rPr>
        <w:t>УрГЮУ</w:t>
      </w:r>
      <w:r>
        <w:rPr>
          <w:rFonts w:ascii="Times New Roman" w:hAnsi="Times New Roman"/>
          <w:sz w:val="28"/>
        </w:rPr>
        <w:t xml:space="preserve"> им. В.Ф. Яковлева молодежный </w:t>
      </w:r>
      <w:r>
        <w:rPr>
          <w:rFonts w:ascii="Times New Roman" w:hAnsi="Times New Roman"/>
          <w:sz w:val="28"/>
        </w:rPr>
        <w:t>цивилистический</w:t>
      </w:r>
      <w:r>
        <w:rPr>
          <w:rFonts w:ascii="Times New Roman" w:hAnsi="Times New Roman"/>
          <w:sz w:val="28"/>
        </w:rPr>
        <w:t xml:space="preserve"> форум «Частное право без границ» организует международную научно-практическую конференцию </w:t>
      </w:r>
      <w:r>
        <w:rPr>
          <w:rFonts w:ascii="Times New Roman" w:hAnsi="Times New Roman"/>
          <w:b w:val="1"/>
          <w:i w:val="1"/>
          <w:sz w:val="28"/>
        </w:rPr>
        <w:t xml:space="preserve">«Инструменты частного права в содействии организации и развития гражданского общества», </w:t>
      </w:r>
      <w:r>
        <w:rPr>
          <w:rFonts w:ascii="Times New Roman" w:hAnsi="Times New Roman"/>
          <w:sz w:val="28"/>
        </w:rPr>
        <w:t>которая состоится</w:t>
      </w:r>
      <w:r>
        <w:rPr>
          <w:rFonts w:ascii="Times New Roman" w:hAnsi="Times New Roman"/>
          <w:b w:val="1"/>
          <w:sz w:val="28"/>
        </w:rPr>
        <w:t xml:space="preserve"> 16 апреля 2024 г. </w:t>
      </w:r>
    </w:p>
    <w:p w14:paraId="46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2024 году Уральский государственный юридический университет, который носит теперь имя одного из ярчайших представителей уральской</w:t>
      </w:r>
      <w:r>
        <w:rPr>
          <w:rFonts w:ascii="Times New Roman" w:hAnsi="Times New Roman"/>
          <w:sz w:val="28"/>
        </w:rPr>
        <w:t xml:space="preserve"> цивилистики В.Ф. Яковлева, празднует 75-летие кафедры гражданского права СЮИ/</w:t>
      </w:r>
      <w:r>
        <w:rPr>
          <w:rFonts w:ascii="Times New Roman" w:hAnsi="Times New Roman"/>
          <w:sz w:val="28"/>
        </w:rPr>
        <w:t>УрГЮА</w:t>
      </w:r>
      <w:r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УрГЮУ</w:t>
      </w:r>
      <w:r>
        <w:rPr>
          <w:rFonts w:ascii="Times New Roman" w:hAnsi="Times New Roman"/>
          <w:sz w:val="28"/>
        </w:rPr>
        <w:t xml:space="preserve">. Новое поколение цивилистов стоит перед новыми проблемами современного мира с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z w:val="28"/>
        </w:rPr>
        <w:t xml:space="preserve"> бурно развивающимися общественными отношениями. Однако, как показывает опыт, в том ч</w:t>
      </w:r>
      <w:r>
        <w:rPr>
          <w:rFonts w:ascii="Times New Roman" w:hAnsi="Times New Roman"/>
          <w:sz w:val="28"/>
        </w:rPr>
        <w:t>исле и исторический, новое зачастую есть хорошо забытое старое. Уральская цивилистика свое прошлое не забывает и всякий раз, снова и снова, обращается к истокам – трудам классиков юридической мысли. Именно поэтому конференция, анонсируемая этим информацион</w:t>
      </w:r>
      <w:r>
        <w:rPr>
          <w:rFonts w:ascii="Times New Roman" w:hAnsi="Times New Roman"/>
          <w:sz w:val="28"/>
        </w:rPr>
        <w:t>ным письмом, хотя и посвящена современным проблемам юридической науки и практики, обращает участников к богатому наследию уральской школы частного права, постижение которого откроет путь к решению актуальных проблем, основанному на многолетнем опыте осмысл</w:t>
      </w:r>
      <w:r>
        <w:rPr>
          <w:rFonts w:ascii="Times New Roman" w:hAnsi="Times New Roman"/>
          <w:sz w:val="28"/>
        </w:rPr>
        <w:t>ения регулирования отношений, составляющих предмет права гражданского.</w:t>
      </w:r>
    </w:p>
    <w:p w14:paraId="47000000">
      <w:pPr>
        <w:spacing w:after="0" w:line="276" w:lineRule="auto"/>
        <w:ind w:firstLine="708" w:left="0"/>
        <w:jc w:val="both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b w:val="1"/>
          <w:i w:val="1"/>
          <w:color w:val="002060"/>
          <w:sz w:val="28"/>
        </w:rPr>
        <w:t>Организаторами Конференции являются</w:t>
      </w:r>
      <w:r>
        <w:rPr>
          <w:rFonts w:ascii="Times New Roman" w:hAnsi="Times New Roman"/>
          <w:color w:val="002060"/>
          <w:sz w:val="28"/>
        </w:rPr>
        <w:t xml:space="preserve">:  </w:t>
      </w:r>
    </w:p>
    <w:p w14:paraId="48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Кафедра гражданского права Уральского государственного юридического университета им. В. Ф. Яковлева (</w:t>
      </w:r>
      <w:r>
        <w:rPr>
          <w:rFonts w:ascii="Times New Roman" w:hAnsi="Times New Roman"/>
          <w:sz w:val="28"/>
        </w:rPr>
        <w:t>УрГЮУ</w:t>
      </w:r>
      <w:r>
        <w:rPr>
          <w:rFonts w:ascii="Times New Roman" w:hAnsi="Times New Roman"/>
          <w:sz w:val="28"/>
        </w:rPr>
        <w:t xml:space="preserve"> им. В. Ф. Яковлева); </w:t>
      </w:r>
    </w:p>
    <w:p w14:paraId="49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Уральский ф</w:t>
      </w:r>
      <w:r>
        <w:rPr>
          <w:rFonts w:ascii="Times New Roman" w:hAnsi="Times New Roman"/>
          <w:sz w:val="28"/>
        </w:rPr>
        <w:t>илиал федерального государственного бюджетного научного учреждения «Исследовательский центр частного права имени С. С. Алексеева при Президенте Российской Федерации» (</w:t>
      </w:r>
      <w:r>
        <w:rPr>
          <w:rFonts w:ascii="Times New Roman" w:hAnsi="Times New Roman"/>
          <w:sz w:val="28"/>
        </w:rPr>
        <w:t>УрфИЦЧП</w:t>
      </w:r>
      <w:r>
        <w:rPr>
          <w:rFonts w:ascii="Times New Roman" w:hAnsi="Times New Roman"/>
          <w:sz w:val="28"/>
        </w:rPr>
        <w:t xml:space="preserve">); </w:t>
      </w:r>
    </w:p>
    <w:p w14:paraId="4A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Кафедра гражданского и хозяйственного права Института управленческих кадров</w:t>
      </w:r>
      <w:r>
        <w:rPr>
          <w:rFonts w:ascii="Times New Roman" w:hAnsi="Times New Roman"/>
          <w:sz w:val="28"/>
        </w:rPr>
        <w:t xml:space="preserve"> Академии управления при Президенте Республики Беларусь; </w:t>
      </w:r>
    </w:p>
    <w:p w14:paraId="4B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Юридический факультет Российско-Таджикского (Славянского) университета; </w:t>
      </w:r>
    </w:p>
    <w:p w14:paraId="4C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Институт права и политики Российско-Армянского университета.</w:t>
      </w:r>
    </w:p>
    <w:p w14:paraId="4D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</w:p>
    <w:p w14:paraId="4E000000">
      <w:pPr>
        <w:spacing w:after="0" w:line="276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Приглашаем студентов, магистрантов, аспирантов и молодых </w:t>
      </w:r>
      <w:r>
        <w:rPr>
          <w:rFonts w:ascii="Times New Roman" w:hAnsi="Times New Roman"/>
          <w:b w:val="1"/>
          <w:sz w:val="28"/>
        </w:rPr>
        <w:t xml:space="preserve">ученых принять участие! </w:t>
      </w:r>
    </w:p>
    <w:p w14:paraId="4F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Целями</w:t>
      </w:r>
      <w:r>
        <w:rPr>
          <w:rFonts w:ascii="Times New Roman" w:hAnsi="Times New Roman"/>
          <w:sz w:val="28"/>
        </w:rPr>
        <w:t xml:space="preserve"> проведения международной научно-практической конференции:</w:t>
      </w:r>
    </w:p>
    <w:p w14:paraId="50000000">
      <w:pPr>
        <w:numPr>
          <w:ilvl w:val="0"/>
          <w:numId w:val="1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привлечение студентов, магистрантов и молодых ученых к научно-исследовательской деятельности;</w:t>
      </w:r>
    </w:p>
    <w:p w14:paraId="51000000">
      <w:pPr>
        <w:numPr>
          <w:ilvl w:val="0"/>
          <w:numId w:val="1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актуальных проблем цивилистики юридическим сообществом;</w:t>
      </w:r>
    </w:p>
    <w:p w14:paraId="52000000">
      <w:pPr>
        <w:numPr>
          <w:ilvl w:val="0"/>
          <w:numId w:val="1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информационное взаимодействие органов публичной власти и участников образовательного процесса;</w:t>
      </w:r>
    </w:p>
    <w:p w14:paraId="53000000">
      <w:pPr>
        <w:numPr>
          <w:ilvl w:val="0"/>
          <w:numId w:val="1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интереса к частному праву.</w:t>
      </w:r>
    </w:p>
    <w:p w14:paraId="54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Конференция проводится как в </w:t>
      </w:r>
      <w:r>
        <w:rPr>
          <w:rFonts w:ascii="Times New Roman" w:hAnsi="Times New Roman"/>
          <w:sz w:val="28"/>
        </w:rPr>
        <w:t>очном</w:t>
      </w:r>
      <w:r>
        <w:rPr>
          <w:rFonts w:ascii="Times New Roman" w:hAnsi="Times New Roman"/>
          <w:sz w:val="28"/>
        </w:rPr>
        <w:t>, так и онлайн-форматах. По результатам конференции будет выпущен сборник статей, индекси</w:t>
      </w:r>
      <w:r>
        <w:rPr>
          <w:rFonts w:ascii="Times New Roman" w:hAnsi="Times New Roman"/>
          <w:sz w:val="28"/>
        </w:rPr>
        <w:t>руемый в РИНЦ.</w:t>
      </w:r>
    </w:p>
    <w:p w14:paraId="55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проведения конференции в очном формате: Российская Федерация, г. Екатеринбург, ул. Комсомольская, д. 21.</w:t>
      </w:r>
    </w:p>
    <w:p w14:paraId="56000000">
      <w:pPr>
        <w:spacing w:after="0" w:line="276" w:lineRule="auto"/>
        <w:ind w:firstLine="709" w:left="0"/>
        <w:jc w:val="both"/>
        <w:rPr>
          <w:rFonts w:ascii="Times New Roman" w:hAnsi="Times New Roman"/>
          <w:b w:val="1"/>
          <w:i w:val="1"/>
          <w:sz w:val="28"/>
        </w:rPr>
      </w:pPr>
    </w:p>
    <w:p w14:paraId="57000000">
      <w:pPr>
        <w:spacing w:after="0" w:line="276" w:lineRule="auto"/>
        <w:ind w:firstLine="709" w:left="0"/>
        <w:jc w:val="both"/>
        <w:rPr>
          <w:rFonts w:ascii="Times New Roman" w:hAnsi="Times New Roman"/>
          <w:b w:val="1"/>
          <w:i w:val="1"/>
          <w:color w:val="002060"/>
          <w:sz w:val="28"/>
        </w:rPr>
      </w:pPr>
      <w:r>
        <w:rPr>
          <w:rFonts w:ascii="Times New Roman" w:hAnsi="Times New Roman"/>
          <w:b w:val="1"/>
          <w:i w:val="1"/>
          <w:color w:val="002060"/>
          <w:sz w:val="28"/>
        </w:rPr>
        <w:t>Конференция состоит из нескольких дискуссионных площадок:</w:t>
      </w:r>
    </w:p>
    <w:p w14:paraId="58000000">
      <w:pPr>
        <w:spacing w:after="0" w:line="276" w:lineRule="auto"/>
        <w:ind w:firstLine="0" w:left="360"/>
        <w:jc w:val="both"/>
        <w:rPr>
          <w:rFonts w:ascii="Times New Roman" w:hAnsi="Times New Roman"/>
          <w:b w:val="1"/>
          <w:sz w:val="28"/>
        </w:rPr>
      </w:pPr>
    </w:p>
    <w:p w14:paraId="59000000">
      <w:pPr>
        <w:spacing w:after="0" w:line="276" w:lineRule="auto"/>
        <w:ind w:firstLine="0" w:left="360"/>
        <w:jc w:val="both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b w:val="1"/>
          <w:color w:val="002060"/>
          <w:sz w:val="28"/>
        </w:rPr>
        <w:t xml:space="preserve">Дискуссионная площадка № 1: «Поиск действенных механизмов охраны прав </w:t>
      </w:r>
      <w:r>
        <w:rPr>
          <w:rFonts w:ascii="Times New Roman" w:hAnsi="Times New Roman"/>
          <w:b w:val="1"/>
          <w:color w:val="002060"/>
          <w:sz w:val="28"/>
        </w:rPr>
        <w:t>и свобод человека»</w:t>
      </w:r>
    </w:p>
    <w:p w14:paraId="5A000000">
      <w:pPr>
        <w:numPr>
          <w:ilvl w:val="0"/>
          <w:numId w:val="2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учения о личных неимущественных правах: проблемы законодательной дифференциации прав и свобод человека.</w:t>
      </w:r>
    </w:p>
    <w:p w14:paraId="5B000000">
      <w:pPr>
        <w:numPr>
          <w:ilvl w:val="0"/>
          <w:numId w:val="2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Правовые проблемы защиты нематериальных благ, обеспечивающих неимущественную гражданскую жизнь человека.</w:t>
      </w:r>
    </w:p>
    <w:p w14:paraId="5C000000">
      <w:pPr>
        <w:numPr>
          <w:ilvl w:val="0"/>
          <w:numId w:val="2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Юридическое значени</w:t>
      </w:r>
      <w:r>
        <w:rPr>
          <w:rFonts w:ascii="Times New Roman" w:hAnsi="Times New Roman"/>
          <w:sz w:val="28"/>
        </w:rPr>
        <w:t>е информационных реестров в личных, корпоративных, авторских и иных отношениях с участием физических лиц.</w:t>
      </w:r>
    </w:p>
    <w:p w14:paraId="5D000000">
      <w:pPr>
        <w:numPr>
          <w:ilvl w:val="0"/>
          <w:numId w:val="2"/>
        </w:numPr>
        <w:spacing w:after="0" w:line="276" w:lineRule="auto"/>
        <w:ind w:hanging="357" w:left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«Я тебя породил» - вопросы законного представительства, распределенная опека.</w:t>
      </w:r>
    </w:p>
    <w:p w14:paraId="5E000000">
      <w:pPr>
        <w:spacing w:after="0" w:line="276" w:lineRule="auto"/>
        <w:ind w:firstLine="0" w:left="360"/>
        <w:jc w:val="both"/>
        <w:rPr>
          <w:rFonts w:ascii="Times New Roman" w:hAnsi="Times New Roman"/>
          <w:b w:val="1"/>
          <w:sz w:val="28"/>
        </w:rPr>
      </w:pPr>
    </w:p>
    <w:p w14:paraId="5F000000">
      <w:pPr>
        <w:spacing w:after="0" w:line="276" w:lineRule="auto"/>
        <w:ind w:firstLine="0" w:left="360"/>
        <w:jc w:val="both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b w:val="1"/>
          <w:color w:val="002060"/>
          <w:sz w:val="28"/>
        </w:rPr>
        <w:t>Дискуссионная площадка № 2: «Нотариальная защита прав и интересов гражд</w:t>
      </w:r>
      <w:r>
        <w:rPr>
          <w:rFonts w:ascii="Times New Roman" w:hAnsi="Times New Roman"/>
          <w:b w:val="1"/>
          <w:color w:val="002060"/>
          <w:sz w:val="28"/>
        </w:rPr>
        <w:t>ан»</w:t>
      </w:r>
    </w:p>
    <w:p w14:paraId="60000000">
      <w:pPr>
        <w:numPr>
          <w:ilvl w:val="0"/>
          <w:numId w:val="3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Правовые подходы к стандарту поведения нотариуса. Имущественная ответственность нотариуса.</w:t>
      </w:r>
    </w:p>
    <w:p w14:paraId="61000000">
      <w:pPr>
        <w:numPr>
          <w:ilvl w:val="0"/>
          <w:numId w:val="3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Основания ограничения автономии воли в выборе формы волеизъявлений.</w:t>
      </w:r>
    </w:p>
    <w:p w14:paraId="62000000">
      <w:pPr>
        <w:numPr>
          <w:ilvl w:val="0"/>
          <w:numId w:val="3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Нотариальные действия как средство охраны и защиты брачно-семейных и иных интересов граждан. </w:t>
      </w:r>
    </w:p>
    <w:p w14:paraId="63000000">
      <w:pPr>
        <w:numPr>
          <w:ilvl w:val="0"/>
          <w:numId w:val="3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нотариуса в обороте движимого и недвижимого имущества с участием граждан.</w:t>
      </w:r>
    </w:p>
    <w:p w14:paraId="64000000">
      <w:pPr>
        <w:numPr>
          <w:ilvl w:val="0"/>
          <w:numId w:val="3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Нотариальная защита прав физических лиц при наследовании (в вещных, корпоративных, интеллектуальных и прочих отношениях).</w:t>
      </w:r>
    </w:p>
    <w:p w14:paraId="65000000">
      <w:pPr>
        <w:numPr>
          <w:ilvl w:val="0"/>
          <w:numId w:val="3"/>
        </w:numPr>
        <w:spacing w:after="0" w:line="276" w:lineRule="auto"/>
        <w:ind w:firstLine="0" w:left="77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Нотариальные действия с применением цифровых технол</w:t>
      </w:r>
      <w:r>
        <w:rPr>
          <w:rFonts w:ascii="Times New Roman" w:hAnsi="Times New Roman"/>
          <w:sz w:val="28"/>
        </w:rPr>
        <w:t>огий.</w:t>
      </w:r>
    </w:p>
    <w:p w14:paraId="66000000">
      <w:pPr>
        <w:spacing w:after="0" w:line="276" w:lineRule="auto"/>
        <w:ind w:firstLine="0" w:left="360"/>
        <w:jc w:val="both"/>
        <w:rPr>
          <w:rFonts w:ascii="Times New Roman" w:hAnsi="Times New Roman"/>
          <w:b w:val="1"/>
          <w:sz w:val="28"/>
        </w:rPr>
      </w:pPr>
    </w:p>
    <w:p w14:paraId="67000000">
      <w:pPr>
        <w:spacing w:after="0" w:line="276" w:lineRule="auto"/>
        <w:ind w:firstLine="0" w:left="360"/>
        <w:jc w:val="both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b w:val="1"/>
          <w:color w:val="002060"/>
          <w:sz w:val="28"/>
        </w:rPr>
        <w:t>Дискуссионная площадка № 3: «Защита прав потребителей в современном мире»</w:t>
      </w:r>
    </w:p>
    <w:p w14:paraId="68000000">
      <w:pPr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Баланс интересов сторон в секторе B2C: несправедливые и иные дискриминационные договорные условия, ущемляющие права потребителя. Допустимое ущемление прав потребителя (</w:t>
      </w:r>
      <w:r>
        <w:rPr>
          <w:rFonts w:ascii="Times New Roman" w:hAnsi="Times New Roman"/>
          <w:sz w:val="28"/>
        </w:rPr>
        <w:t>подход</w:t>
      </w:r>
      <w:r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 xml:space="preserve"> Конституционного Суда РФ).</w:t>
      </w:r>
    </w:p>
    <w:p w14:paraId="69000000">
      <w:pPr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Стандарты поведения гражданина-потребителя и гражданина как профессионального участника гражданского оборота.</w:t>
      </w:r>
    </w:p>
    <w:p w14:paraId="6A000000">
      <w:pPr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Защита потребителя в отношениях с финансовыми платформами, </w:t>
      </w:r>
      <w:r>
        <w:rPr>
          <w:rFonts w:ascii="Times New Roman" w:hAnsi="Times New Roman"/>
          <w:sz w:val="28"/>
        </w:rPr>
        <w:t>маркетплейсами</w:t>
      </w:r>
      <w:r>
        <w:rPr>
          <w:rFonts w:ascii="Times New Roman" w:hAnsi="Times New Roman"/>
          <w:sz w:val="28"/>
        </w:rPr>
        <w:t>, интернет-</w:t>
      </w:r>
      <w:r>
        <w:rPr>
          <w:rFonts w:ascii="Times New Roman" w:hAnsi="Times New Roman"/>
          <w:sz w:val="28"/>
        </w:rPr>
        <w:t>агрегаторами</w:t>
      </w:r>
      <w:r>
        <w:rPr>
          <w:rFonts w:ascii="Times New Roman" w:hAnsi="Times New Roman"/>
          <w:sz w:val="28"/>
        </w:rPr>
        <w:t xml:space="preserve"> и (электронная коммер</w:t>
      </w:r>
      <w:r>
        <w:rPr>
          <w:rFonts w:ascii="Times New Roman" w:hAnsi="Times New Roman"/>
          <w:sz w:val="28"/>
        </w:rPr>
        <w:t>ция).</w:t>
      </w:r>
    </w:p>
    <w:p w14:paraId="6B000000">
      <w:pPr>
        <w:numPr>
          <w:ilvl w:val="0"/>
          <w:numId w:val="4"/>
        </w:numPr>
        <w:spacing w:after="0" w:line="276" w:lineRule="auto"/>
        <w:ind w:hanging="357" w:left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Трансграничные правоотношения с участием потребителя.</w:t>
      </w:r>
    </w:p>
    <w:p w14:paraId="6C000000">
      <w:pPr>
        <w:spacing w:after="0" w:line="276" w:lineRule="auto"/>
        <w:ind w:firstLine="0" w:left="360"/>
        <w:jc w:val="both"/>
        <w:rPr>
          <w:rFonts w:ascii="Times New Roman" w:hAnsi="Times New Roman"/>
          <w:b w:val="1"/>
          <w:sz w:val="28"/>
        </w:rPr>
      </w:pPr>
    </w:p>
    <w:p w14:paraId="6D000000">
      <w:pPr>
        <w:spacing w:after="0" w:line="276" w:lineRule="auto"/>
        <w:ind w:firstLine="0" w:left="360"/>
        <w:jc w:val="both"/>
        <w:rPr>
          <w:rFonts w:ascii="Times New Roman" w:hAnsi="Times New Roman"/>
          <w:b w:val="1"/>
          <w:color w:val="002060"/>
          <w:sz w:val="28"/>
        </w:rPr>
      </w:pPr>
      <w:r>
        <w:rPr>
          <w:rFonts w:ascii="Times New Roman" w:hAnsi="Times New Roman"/>
          <w:b w:val="1"/>
          <w:color w:val="002060"/>
          <w:sz w:val="28"/>
        </w:rPr>
        <w:t>Дискуссионная площадка № 4: «Принцип разумного терпения» и обеспечение баланса интересов в гражданских отношениях с участием граждан</w:t>
      </w:r>
    </w:p>
    <w:p w14:paraId="6E000000">
      <w:pPr>
        <w:numPr>
          <w:ilvl w:val="0"/>
          <w:numId w:val="5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Соседские права: </w:t>
      </w:r>
      <w:r>
        <w:rPr>
          <w:rFonts w:ascii="Times New Roman" w:hAnsi="Times New Roman"/>
          <w:color w:val="1A1A1A"/>
          <w:sz w:val="28"/>
        </w:rPr>
        <w:t>концептуальные подходы</w:t>
      </w:r>
    </w:p>
    <w:p w14:paraId="6F000000">
      <w:pPr>
        <w:numPr>
          <w:ilvl w:val="0"/>
          <w:numId w:val="5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Соблюдение баланса пра</w:t>
      </w:r>
      <w:r>
        <w:rPr>
          <w:rFonts w:ascii="Times New Roman" w:hAnsi="Times New Roman"/>
          <w:sz w:val="28"/>
        </w:rPr>
        <w:t>в и интересов в жилищных правоотношениях.</w:t>
      </w:r>
    </w:p>
    <w:p w14:paraId="70000000">
      <w:pPr>
        <w:numPr>
          <w:ilvl w:val="0"/>
          <w:numId w:val="5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баланса интересов участников общей долевой собственности.</w:t>
      </w:r>
    </w:p>
    <w:p w14:paraId="71000000">
      <w:pPr>
        <w:numPr>
          <w:ilvl w:val="0"/>
          <w:numId w:val="5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Правовые вопросы поэтажной собственности.</w:t>
      </w:r>
    </w:p>
    <w:p w14:paraId="72000000">
      <w:pPr>
        <w:numPr>
          <w:ilvl w:val="0"/>
          <w:numId w:val="5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Коттеджные поселки: проблемы </w:t>
      </w:r>
      <w:r>
        <w:rPr>
          <w:rFonts w:ascii="Times New Roman" w:hAnsi="Times New Roman"/>
          <w:sz w:val="28"/>
        </w:rPr>
        <w:t>частно</w:t>
      </w:r>
      <w:r>
        <w:rPr>
          <w:rFonts w:ascii="Times New Roman" w:hAnsi="Times New Roman"/>
          <w:sz w:val="28"/>
        </w:rPr>
        <w:t>-правового</w:t>
      </w:r>
      <w:r>
        <w:rPr>
          <w:rFonts w:ascii="Times New Roman" w:hAnsi="Times New Roman"/>
          <w:sz w:val="28"/>
        </w:rPr>
        <w:t xml:space="preserve"> регулирования.</w:t>
      </w:r>
    </w:p>
    <w:p w14:paraId="73000000">
      <w:pPr>
        <w:numPr>
          <w:ilvl w:val="0"/>
          <w:numId w:val="5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Конкуренция вещных и интеллектуальных </w:t>
      </w:r>
      <w:r>
        <w:rPr>
          <w:rFonts w:ascii="Times New Roman" w:hAnsi="Times New Roman"/>
          <w:sz w:val="28"/>
        </w:rPr>
        <w:t>прав: в поисках баланса.</w:t>
      </w:r>
    </w:p>
    <w:p w14:paraId="74000000">
      <w:pPr>
        <w:numPr>
          <w:ilvl w:val="0"/>
          <w:numId w:val="5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Корпоративные конфликты (мажоритарные и миноритарные участники).</w:t>
      </w:r>
    </w:p>
    <w:p w14:paraId="75000000">
      <w:pPr>
        <w:numPr>
          <w:ilvl w:val="0"/>
          <w:numId w:val="5"/>
        </w:numPr>
        <w:spacing w:after="0" w:line="276" w:lineRule="auto"/>
        <w:ind w:hanging="357" w:left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Правовые формы осуществления экономической деятельности гражданами (инвесторы, субъекты малого и среднего предпринимательства, «</w:t>
      </w:r>
      <w:r>
        <w:rPr>
          <w:rFonts w:ascii="Times New Roman" w:hAnsi="Times New Roman"/>
          <w:sz w:val="28"/>
        </w:rPr>
        <w:t>самозанятые</w:t>
      </w:r>
      <w:r>
        <w:rPr>
          <w:rFonts w:ascii="Times New Roman" w:hAnsi="Times New Roman"/>
          <w:sz w:val="28"/>
        </w:rPr>
        <w:t>» лица и др.).</w:t>
      </w:r>
    </w:p>
    <w:p w14:paraId="76000000">
      <w:pPr>
        <w:spacing w:after="0" w:line="276" w:lineRule="auto"/>
        <w:ind w:firstLine="708" w:left="0"/>
        <w:jc w:val="both"/>
        <w:rPr>
          <w:rFonts w:ascii="Times New Roman" w:hAnsi="Times New Roman"/>
          <w:b w:val="1"/>
          <w:sz w:val="28"/>
        </w:rPr>
      </w:pPr>
    </w:p>
    <w:p w14:paraId="77000000">
      <w:pPr>
        <w:spacing w:after="0" w:line="276" w:lineRule="auto"/>
        <w:ind w:firstLine="708" w:left="0"/>
        <w:jc w:val="both"/>
        <w:rPr>
          <w:rFonts w:ascii="Times New Roman" w:hAnsi="Times New Roman"/>
          <w:i w:val="1"/>
          <w:color w:val="002060"/>
          <w:sz w:val="28"/>
        </w:rPr>
      </w:pPr>
      <w:r>
        <w:rPr>
          <w:rFonts w:ascii="Times New Roman" w:hAnsi="Times New Roman"/>
          <w:b w:val="1"/>
          <w:i w:val="1"/>
          <w:color w:val="002060"/>
          <w:sz w:val="28"/>
        </w:rPr>
        <w:t>Порядок и п</w:t>
      </w:r>
      <w:r>
        <w:rPr>
          <w:rFonts w:ascii="Times New Roman" w:hAnsi="Times New Roman"/>
          <w:b w:val="1"/>
          <w:i w:val="1"/>
          <w:color w:val="002060"/>
          <w:sz w:val="28"/>
        </w:rPr>
        <w:t xml:space="preserve">равила участия в конференции </w:t>
      </w:r>
    </w:p>
    <w:p w14:paraId="78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участия в конференции необходимо до 11 апреля 2024 года заполнить заявку посредством </w:t>
      </w:r>
      <w:r>
        <w:rPr>
          <w:rFonts w:ascii="Times New Roman" w:hAnsi="Times New Roman"/>
          <w:sz w:val="28"/>
        </w:rPr>
        <w:t>гугл</w:t>
      </w:r>
      <w:r>
        <w:rPr>
          <w:rFonts w:ascii="Times New Roman" w:hAnsi="Times New Roman"/>
          <w:sz w:val="28"/>
        </w:rPr>
        <w:t>-формы (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"https://forms.gle/ajuHszdnQNwT854v8"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https://forms.gle/ajuHszdn</w:t>
      </w:r>
      <w:r>
        <w:rPr>
          <w:rStyle w:val="Style_4_ch"/>
          <w:rFonts w:ascii="Times New Roman" w:hAnsi="Times New Roman"/>
          <w:sz w:val="28"/>
        </w:rPr>
        <w:t>Q</w:t>
      </w:r>
      <w:r>
        <w:rPr>
          <w:rStyle w:val="Style_4_ch"/>
          <w:rFonts w:ascii="Times New Roman" w:hAnsi="Times New Roman"/>
          <w:sz w:val="28"/>
        </w:rPr>
        <w:t>NwT854v8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, прикрепив те</w:t>
      </w:r>
      <w:r>
        <w:rPr>
          <w:rFonts w:ascii="Times New Roman" w:hAnsi="Times New Roman"/>
          <w:sz w:val="28"/>
        </w:rPr>
        <w:t>кст ст</w:t>
      </w:r>
      <w:r>
        <w:rPr>
          <w:rFonts w:ascii="Times New Roman" w:hAnsi="Times New Roman"/>
          <w:sz w:val="28"/>
        </w:rPr>
        <w:t>атьи. При этом обязательно соблюдение следующих правил:</w:t>
      </w:r>
      <w:r>
        <w:rPr>
          <w:rFonts w:ascii="Times New Roman" w:hAnsi="Times New Roman"/>
          <w:sz w:val="28"/>
        </w:rPr>
        <w:t xml:space="preserve"> </w:t>
      </w:r>
    </w:p>
    <w:p w14:paraId="79000000">
      <w:pPr>
        <w:numPr>
          <w:ilvl w:val="0"/>
          <w:numId w:val="6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Тематика статьи не должна выходить за пределы </w:t>
      </w:r>
      <w:r>
        <w:rPr>
          <w:rFonts w:ascii="Times New Roman" w:hAnsi="Times New Roman"/>
          <w:b w:val="1"/>
          <w:sz w:val="28"/>
        </w:rPr>
        <w:t>правовых тем</w:t>
      </w:r>
      <w:r>
        <w:rPr>
          <w:rFonts w:ascii="Times New Roman" w:hAnsi="Times New Roman"/>
          <w:sz w:val="28"/>
        </w:rPr>
        <w:t>, установленных дискуссионными площадками.</w:t>
      </w:r>
      <w:r>
        <w:rPr>
          <w:rFonts w:ascii="Times New Roman" w:hAnsi="Times New Roman"/>
          <w:sz w:val="28"/>
        </w:rPr>
        <w:t xml:space="preserve"> </w:t>
      </w:r>
    </w:p>
    <w:p w14:paraId="7A000000">
      <w:pPr>
        <w:numPr>
          <w:ilvl w:val="0"/>
          <w:numId w:val="6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Объем статьи</w:t>
      </w:r>
      <w:r>
        <w:rPr>
          <w:rFonts w:ascii="Times New Roman" w:hAnsi="Times New Roman"/>
          <w:sz w:val="28"/>
        </w:rPr>
        <w:t xml:space="preserve"> – от 5 до 10 страниц. Количество ссылок – не менее 5.</w:t>
      </w:r>
    </w:p>
    <w:p w14:paraId="7B000000">
      <w:pPr>
        <w:numPr>
          <w:ilvl w:val="0"/>
          <w:numId w:val="6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Направляемая на публикацию статья должна отвечать </w:t>
      </w:r>
      <w:r>
        <w:rPr>
          <w:rFonts w:ascii="Times New Roman" w:hAnsi="Times New Roman"/>
          <w:b w:val="1"/>
          <w:sz w:val="28"/>
        </w:rPr>
        <w:t>требованиям оформлени</w:t>
      </w:r>
      <w:r>
        <w:rPr>
          <w:rFonts w:ascii="Times New Roman" w:hAnsi="Times New Roman"/>
          <w:sz w:val="28"/>
        </w:rPr>
        <w:t>я, указанным в Пр</w:t>
      </w:r>
      <w:r>
        <w:rPr>
          <w:rFonts w:ascii="Times New Roman" w:hAnsi="Times New Roman"/>
          <w:sz w:val="28"/>
        </w:rPr>
        <w:t>иложении 1.</w:t>
      </w:r>
    </w:p>
    <w:p w14:paraId="7C000000">
      <w:pPr>
        <w:numPr>
          <w:ilvl w:val="0"/>
          <w:numId w:val="6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Уровень оригинальности статьи, направляемой на публикацию, должен составлять </w:t>
      </w:r>
      <w:r>
        <w:rPr>
          <w:rFonts w:ascii="Times New Roman" w:hAnsi="Times New Roman"/>
          <w:b w:val="1"/>
          <w:sz w:val="28"/>
        </w:rPr>
        <w:t>не менее 70 процентов</w:t>
      </w:r>
      <w:r>
        <w:rPr>
          <w:rFonts w:ascii="Times New Roman" w:hAnsi="Times New Roman"/>
          <w:sz w:val="28"/>
        </w:rPr>
        <w:t>.</w:t>
      </w:r>
    </w:p>
    <w:p w14:paraId="7D000000">
      <w:pPr>
        <w:numPr>
          <w:ilvl w:val="0"/>
          <w:numId w:val="6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Соавторство</w:t>
      </w:r>
      <w:r>
        <w:rPr>
          <w:rFonts w:ascii="Times New Roman" w:hAnsi="Times New Roman"/>
          <w:sz w:val="28"/>
        </w:rPr>
        <w:t xml:space="preserve"> при написании статьи допускается (максимальное количество авторов – 2 человека).</w:t>
      </w:r>
    </w:p>
    <w:p w14:paraId="7E000000">
      <w:pPr>
        <w:numPr>
          <w:ilvl w:val="0"/>
          <w:numId w:val="6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статье прилагается </w:t>
      </w:r>
      <w:r>
        <w:rPr>
          <w:rFonts w:ascii="Times New Roman" w:hAnsi="Times New Roman"/>
          <w:b w:val="1"/>
          <w:sz w:val="28"/>
        </w:rPr>
        <w:t>рецензия</w:t>
      </w:r>
      <w:r>
        <w:rPr>
          <w:rFonts w:ascii="Times New Roman" w:hAnsi="Times New Roman"/>
          <w:sz w:val="28"/>
        </w:rPr>
        <w:t xml:space="preserve"> от научного руководит</w:t>
      </w:r>
      <w:r>
        <w:rPr>
          <w:rFonts w:ascii="Times New Roman" w:hAnsi="Times New Roman"/>
          <w:sz w:val="28"/>
        </w:rPr>
        <w:t>еля для студентов и магистрантов.</w:t>
      </w:r>
    </w:p>
    <w:p w14:paraId="7F000000">
      <w:pPr>
        <w:numPr>
          <w:ilvl w:val="0"/>
          <w:numId w:val="6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Наименование файла с текстом статьи, прикрепленного к заявке, </w:t>
      </w:r>
      <w:r>
        <w:rPr>
          <w:rFonts w:ascii="Times New Roman" w:hAnsi="Times New Roman"/>
          <w:b w:val="1"/>
          <w:sz w:val="28"/>
        </w:rPr>
        <w:t>должно содержать</w:t>
      </w:r>
      <w:r>
        <w:rPr>
          <w:rFonts w:ascii="Times New Roman" w:hAnsi="Times New Roman"/>
          <w:sz w:val="28"/>
        </w:rPr>
        <w:t xml:space="preserve">: </w:t>
      </w:r>
    </w:p>
    <w:p w14:paraId="80000000">
      <w:pPr>
        <w:spacing w:after="0" w:line="276" w:lineRule="auto"/>
        <w:ind w:firstLine="0"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номер направления (темы); </w:t>
      </w:r>
    </w:p>
    <w:p w14:paraId="81000000">
      <w:pPr>
        <w:spacing w:after="0" w:line="276" w:lineRule="auto"/>
        <w:ind w:firstLine="0"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фамилию и инициалы участника; </w:t>
      </w:r>
    </w:p>
    <w:p w14:paraId="82000000">
      <w:pPr>
        <w:spacing w:after="0" w:line="276" w:lineRule="auto"/>
        <w:ind w:firstLine="0"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тему статьи.</w:t>
      </w:r>
    </w:p>
    <w:p w14:paraId="83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статьях приветствуются ссылки на труды представителей урал</w:t>
      </w:r>
      <w:r>
        <w:rPr>
          <w:rFonts w:ascii="Times New Roman" w:hAnsi="Times New Roman"/>
          <w:sz w:val="28"/>
        </w:rPr>
        <w:t>ьской школы цивилистики.</w:t>
      </w:r>
    </w:p>
    <w:p w14:paraId="84000000">
      <w:pPr>
        <w:spacing w:after="0" w:line="276" w:lineRule="auto"/>
        <w:ind w:firstLine="0" w:left="720"/>
        <w:jc w:val="both"/>
        <w:rPr>
          <w:rFonts w:ascii="Times New Roman" w:hAnsi="Times New Roman"/>
          <w:sz w:val="28"/>
        </w:rPr>
      </w:pPr>
    </w:p>
    <w:p w14:paraId="85000000">
      <w:pPr>
        <w:spacing w:after="0" w:line="276" w:lineRule="auto"/>
        <w:ind w:firstLine="708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По итогам рецензирования, Организационный комитет имеет право отказать в принятии статей.</w:t>
      </w:r>
    </w:p>
    <w:p w14:paraId="86000000">
      <w:pPr>
        <w:spacing w:after="0" w:line="276" w:lineRule="auto"/>
        <w:ind/>
        <w:jc w:val="both"/>
        <w:rPr>
          <w:rFonts w:ascii="Times New Roman" w:hAnsi="Times New Roman"/>
          <w:i w:val="1"/>
          <w:sz w:val="28"/>
        </w:rPr>
      </w:pPr>
    </w:p>
    <w:p w14:paraId="87000000">
      <w:pPr>
        <w:spacing w:after="0" w:line="360" w:lineRule="auto"/>
        <w:ind w:firstLine="709" w:left="0"/>
        <w:jc w:val="both"/>
        <w:rPr>
          <w:rFonts w:ascii="Times New Roman" w:hAnsi="Times New Roman"/>
          <w:b w:val="1"/>
          <w:i w:val="1"/>
          <w:color w:val="002060"/>
          <w:sz w:val="28"/>
        </w:rPr>
      </w:pPr>
      <w:r>
        <w:rPr>
          <w:rFonts w:ascii="Times New Roman" w:hAnsi="Times New Roman"/>
          <w:b w:val="1"/>
          <w:i w:val="1"/>
          <w:color w:val="002060"/>
          <w:sz w:val="28"/>
        </w:rPr>
        <w:t>Способы связи с оргкомитетом:</w:t>
      </w:r>
    </w:p>
    <w:p w14:paraId="8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e-</w:t>
      </w:r>
      <w:r>
        <w:rPr>
          <w:rFonts w:ascii="Times New Roman" w:hAnsi="Times New Roman"/>
          <w:b w:val="1"/>
          <w:i w:val="1"/>
          <w:sz w:val="28"/>
        </w:rPr>
        <w:t>mail</w:t>
      </w:r>
      <w:r>
        <w:rPr>
          <w:rFonts w:ascii="Times New Roman" w:hAnsi="Times New Roman"/>
          <w:b w:val="1"/>
          <w:i w:val="1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563C1"/>
          <w:sz w:val="28"/>
          <w:u w:val="single"/>
        </w:rPr>
        <w:fldChar w:fldCharType="begin"/>
      </w:r>
      <w:r>
        <w:rPr>
          <w:rFonts w:ascii="Times New Roman" w:hAnsi="Times New Roman"/>
          <w:color w:val="0563C1"/>
          <w:sz w:val="28"/>
          <w:u w:val="single"/>
        </w:rPr>
        <w:instrText>HYPERLINK "mailto:borderless.private.law@gmail.com"</w:instrText>
      </w:r>
      <w:r>
        <w:rPr>
          <w:rFonts w:ascii="Times New Roman" w:hAnsi="Times New Roman"/>
          <w:color w:val="0563C1"/>
          <w:sz w:val="28"/>
          <w:u w:val="single"/>
        </w:rPr>
        <w:fldChar w:fldCharType="separate"/>
      </w:r>
      <w:r>
        <w:rPr>
          <w:rFonts w:ascii="Times New Roman" w:hAnsi="Times New Roman"/>
          <w:color w:val="0563C1"/>
          <w:sz w:val="28"/>
          <w:u w:val="single"/>
        </w:rPr>
        <w:t>borderless.private.law@gmail.com</w:t>
      </w:r>
      <w:r>
        <w:rPr>
          <w:rFonts w:ascii="Times New Roman" w:hAnsi="Times New Roman"/>
          <w:color w:val="0563C1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</w:t>
      </w:r>
    </w:p>
    <w:p w14:paraId="89000000">
      <w:pPr>
        <w:spacing w:after="0" w:line="240" w:lineRule="auto"/>
        <w:ind/>
        <w:jc w:val="both"/>
        <w:rPr>
          <w:rFonts w:ascii="Times New Roman" w:hAnsi="Times New Roman"/>
          <w:color w:val="0563C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группа </w:t>
      </w:r>
      <w:r>
        <w:rPr>
          <w:rFonts w:ascii="Times New Roman" w:hAnsi="Times New Roman"/>
          <w:b w:val="1"/>
          <w:i w:val="1"/>
          <w:sz w:val="28"/>
        </w:rPr>
        <w:t>Вконтакте</w:t>
      </w:r>
      <w:r>
        <w:rPr>
          <w:rFonts w:ascii="Times New Roman" w:hAnsi="Times New Roman"/>
          <w:b w:val="1"/>
          <w:i w:val="1"/>
          <w:sz w:val="28"/>
        </w:rPr>
        <w:t xml:space="preserve">: </w:t>
      </w:r>
      <w:r>
        <w:rPr>
          <w:rFonts w:ascii="Times New Roman" w:hAnsi="Times New Roman"/>
          <w:color w:val="0563C1"/>
          <w:sz w:val="28"/>
          <w:u w:val="single"/>
        </w:rPr>
        <w:fldChar w:fldCharType="begin"/>
      </w:r>
      <w:r>
        <w:rPr>
          <w:rFonts w:ascii="Times New Roman" w:hAnsi="Times New Roman"/>
          <w:color w:val="0563C1"/>
          <w:sz w:val="28"/>
          <w:u w:val="single"/>
        </w:rPr>
        <w:instrText>HYPERLINK "https://vk.com/borderlessiusprivatum"</w:instrText>
      </w:r>
      <w:r>
        <w:rPr>
          <w:rFonts w:ascii="Times New Roman" w:hAnsi="Times New Roman"/>
          <w:color w:val="0563C1"/>
          <w:sz w:val="28"/>
          <w:u w:val="single"/>
        </w:rPr>
        <w:fldChar w:fldCharType="separate"/>
      </w:r>
      <w:r>
        <w:rPr>
          <w:rFonts w:ascii="Times New Roman" w:hAnsi="Times New Roman"/>
          <w:color w:val="0563C1"/>
          <w:sz w:val="28"/>
          <w:u w:val="single"/>
        </w:rPr>
        <w:t>https://vk.com/borderlessiusprivatum</w:t>
      </w:r>
      <w:r>
        <w:rPr>
          <w:rFonts w:ascii="Times New Roman" w:hAnsi="Times New Roman"/>
          <w:color w:val="0563C1"/>
          <w:sz w:val="28"/>
          <w:u w:val="single"/>
        </w:rPr>
        <w:fldChar w:fldCharType="end"/>
      </w:r>
      <w:r>
        <w:rPr>
          <w:rFonts w:ascii="Times New Roman" w:hAnsi="Times New Roman"/>
          <w:sz w:val="28"/>
          <w:u w:val="single"/>
        </w:rPr>
        <w:t xml:space="preserve"> </w:t>
      </w:r>
    </w:p>
    <w:p w14:paraId="8A000000">
      <w:pPr>
        <w:spacing w:after="0"/>
        <w:ind/>
        <w:rPr>
          <w:color w:val="0563C1"/>
          <w:u w:val="single"/>
        </w:rPr>
      </w:pPr>
    </w:p>
    <w:p w14:paraId="8B000000">
      <w:pPr>
        <w:spacing w:after="0"/>
        <w:ind/>
        <w:rPr>
          <w:rFonts w:ascii="Times New Roman" w:hAnsi="Times New Roman"/>
          <w:sz w:val="28"/>
        </w:rPr>
      </w:pPr>
      <w:r>
        <w:br w:type="page"/>
      </w:r>
    </w:p>
    <w:p w14:paraId="8C000000">
      <w:pPr>
        <w:spacing w:after="0" w:line="276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</w:t>
      </w:r>
    </w:p>
    <w:p w14:paraId="8D000000">
      <w:pPr>
        <w:spacing w:after="0" w:line="276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Требования к статьям, направляемым для опубликования в материалах научных конференций или иных непериодических изданиях</w:t>
      </w:r>
    </w:p>
    <w:p w14:paraId="8E000000">
      <w:pPr>
        <w:spacing w:after="0" w:line="276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I. Структура статьи</w:t>
      </w:r>
    </w:p>
    <w:p w14:paraId="8F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i w:val="1"/>
          <w:sz w:val="28"/>
        </w:rPr>
        <w:t>Код УДК</w:t>
      </w:r>
      <w:r>
        <w:rPr>
          <w:rFonts w:ascii="Times New Roman" w:hAnsi="Times New Roman"/>
          <w:sz w:val="28"/>
        </w:rPr>
        <w:t xml:space="preserve"> в соответствии с ГОСТ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 7.0.90-2016. «Национальный стандарт Российской Федерации. Система стандартов по информации, библиотечному и издательскому делу. Универсальная десятичная классификация. Структура, правила ведения и индексирования». Код УДК</w:t>
      </w:r>
      <w:r>
        <w:rPr>
          <w:rFonts w:ascii="Times New Roman" w:hAnsi="Times New Roman"/>
          <w:sz w:val="28"/>
        </w:rPr>
        <w:t xml:space="preserve"> проставляется в левом верхнем углу документа. </w:t>
      </w:r>
    </w:p>
    <w:p w14:paraId="90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i w:val="1"/>
          <w:sz w:val="28"/>
        </w:rPr>
        <w:t>Сведения об авторах:</w:t>
      </w:r>
      <w:r>
        <w:rPr>
          <w:rFonts w:ascii="Times New Roman" w:hAnsi="Times New Roman"/>
          <w:sz w:val="28"/>
        </w:rPr>
        <w:t xml:space="preserve"> - фамилии, имена, отчества всех авторов (на русском и английском языках) указываются полностью; - полное наименование организации (места работы / учебы) в именительном падеже, город, с</w:t>
      </w:r>
      <w:r>
        <w:rPr>
          <w:rFonts w:ascii="Times New Roman" w:hAnsi="Times New Roman"/>
          <w:sz w:val="28"/>
        </w:rPr>
        <w:t>трана (на русском и английском языках); если все авторы работают (обучаются) в одном учреждении, можно не указывать место работы (учебы) каждого автора отдельно; - адрес электронной почты каждого автора.</w:t>
      </w:r>
    </w:p>
    <w:p w14:paraId="91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i w:val="1"/>
          <w:sz w:val="28"/>
        </w:rPr>
        <w:t>Название статьи</w:t>
      </w:r>
      <w:r>
        <w:rPr>
          <w:rFonts w:ascii="Times New Roman" w:hAnsi="Times New Roman"/>
          <w:sz w:val="28"/>
        </w:rPr>
        <w:t xml:space="preserve"> (на русском и английском языках).</w:t>
      </w:r>
      <w:r>
        <w:rPr>
          <w:rFonts w:ascii="Times New Roman" w:hAnsi="Times New Roman"/>
          <w:sz w:val="28"/>
        </w:rPr>
        <w:t xml:space="preserve"> Выравнивание по центру, полужирное начертание, буквы все прописные. Абзацный отступ отсутствует. В конце точка не ставится. </w:t>
      </w:r>
    </w:p>
    <w:p w14:paraId="92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i w:val="1"/>
          <w:sz w:val="28"/>
        </w:rPr>
        <w:t xml:space="preserve">Аннотация </w:t>
      </w:r>
      <w:r>
        <w:rPr>
          <w:rFonts w:ascii="Times New Roman" w:hAnsi="Times New Roman"/>
          <w:sz w:val="28"/>
        </w:rPr>
        <w:t>(на русском и английском языках) объемом 300-500 знаков (включая пробелы). Приводится под названием статьи, выравнива</w:t>
      </w:r>
      <w:r>
        <w:rPr>
          <w:rFonts w:ascii="Times New Roman" w:hAnsi="Times New Roman"/>
          <w:sz w:val="28"/>
        </w:rPr>
        <w:t xml:space="preserve">ние по левому краю. </w:t>
      </w:r>
    </w:p>
    <w:p w14:paraId="93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i w:val="1"/>
          <w:sz w:val="28"/>
        </w:rPr>
        <w:t>Ключевые слова</w:t>
      </w:r>
      <w:r>
        <w:rPr>
          <w:rFonts w:ascii="Times New Roman" w:hAnsi="Times New Roman"/>
          <w:sz w:val="28"/>
        </w:rPr>
        <w:t xml:space="preserve"> (на русском и английском языках): 5-7 слов. Ключевые слова приводятся под аннотацией, выравнивание по левому краю. Ключевые слова отделяются друг от друга запятой. </w:t>
      </w:r>
    </w:p>
    <w:p w14:paraId="94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</w:t>
      </w:r>
      <w:r>
        <w:rPr>
          <w:rFonts w:ascii="Times New Roman" w:hAnsi="Times New Roman"/>
          <w:i w:val="1"/>
          <w:sz w:val="28"/>
        </w:rPr>
        <w:t>Те</w:t>
      </w:r>
      <w:r>
        <w:rPr>
          <w:rFonts w:ascii="Times New Roman" w:hAnsi="Times New Roman"/>
          <w:i w:val="1"/>
          <w:sz w:val="28"/>
        </w:rPr>
        <w:t>кст ст</w:t>
      </w:r>
      <w:r>
        <w:rPr>
          <w:rFonts w:ascii="Times New Roman" w:hAnsi="Times New Roman"/>
          <w:i w:val="1"/>
          <w:sz w:val="28"/>
        </w:rPr>
        <w:t>атьи.</w:t>
      </w:r>
      <w:r>
        <w:rPr>
          <w:rFonts w:ascii="Times New Roman" w:hAnsi="Times New Roman"/>
          <w:sz w:val="28"/>
        </w:rPr>
        <w:t xml:space="preserve"> Те</w:t>
      </w:r>
      <w:r>
        <w:rPr>
          <w:rFonts w:ascii="Times New Roman" w:hAnsi="Times New Roman"/>
          <w:sz w:val="28"/>
        </w:rPr>
        <w:t>кст ст</w:t>
      </w:r>
      <w:r>
        <w:rPr>
          <w:rFonts w:ascii="Times New Roman" w:hAnsi="Times New Roman"/>
          <w:sz w:val="28"/>
        </w:rPr>
        <w:t xml:space="preserve">атьи должен быть тщательно </w:t>
      </w:r>
      <w:r>
        <w:rPr>
          <w:rFonts w:ascii="Times New Roman" w:hAnsi="Times New Roman"/>
          <w:sz w:val="28"/>
        </w:rPr>
        <w:t xml:space="preserve">вычитан и отредактирован. Материалы публикуются в авторской редакции, авторы несут ответственность за научно-теоретический уровень публикуемого материала. </w:t>
      </w:r>
    </w:p>
    <w:p w14:paraId="95000000">
      <w:pPr>
        <w:spacing w:after="0" w:line="276" w:lineRule="auto"/>
        <w:ind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7) </w:t>
      </w:r>
      <w:r>
        <w:rPr>
          <w:rFonts w:ascii="Times New Roman" w:hAnsi="Times New Roman"/>
          <w:i w:val="1"/>
          <w:sz w:val="28"/>
        </w:rPr>
        <w:t>Библиографический список.</w:t>
      </w:r>
      <w:r>
        <w:rPr>
          <w:rFonts w:ascii="Times New Roman" w:hAnsi="Times New Roman"/>
          <w:sz w:val="28"/>
        </w:rPr>
        <w:t xml:space="preserve"> Библиографический список следует оформлять в соответствии с ГОСТ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 7.0.</w:t>
      </w:r>
      <w:r>
        <w:rPr>
          <w:rFonts w:ascii="Times New Roman" w:hAnsi="Times New Roman"/>
          <w:sz w:val="28"/>
        </w:rPr>
        <w:t>5- 2008. 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составления. Библиографический список должен включать не менее 5 источников. В б</w:t>
      </w:r>
      <w:r>
        <w:rPr>
          <w:rFonts w:ascii="Times New Roman" w:hAnsi="Times New Roman"/>
          <w:sz w:val="28"/>
        </w:rPr>
        <w:t xml:space="preserve">иблиографическом списке должны содержаться только литературные источники (учебная и научная литература). </w:t>
      </w:r>
      <w:r>
        <w:rPr>
          <w:rFonts w:ascii="Times New Roman" w:hAnsi="Times New Roman"/>
          <w:sz w:val="28"/>
          <w:u w:val="single"/>
        </w:rPr>
        <w:t xml:space="preserve">Не допускается указание в библиографическом списке источника, на который в тексте статьи не сделана ссылка. </w:t>
      </w:r>
    </w:p>
    <w:p w14:paraId="96000000">
      <w:pPr>
        <w:spacing w:after="0" w:line="276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II. Правила оформления ссылок</w:t>
      </w:r>
    </w:p>
    <w:p w14:paraId="9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Ссылки на источники </w:t>
      </w:r>
      <w:r>
        <w:rPr>
          <w:rFonts w:ascii="Times New Roman" w:hAnsi="Times New Roman"/>
          <w:sz w:val="28"/>
        </w:rPr>
        <w:t>внутритекстовые</w:t>
      </w:r>
      <w:r>
        <w:rPr>
          <w:rFonts w:ascii="Times New Roman" w:hAnsi="Times New Roman"/>
          <w:sz w:val="28"/>
        </w:rPr>
        <w:t xml:space="preserve">. При оформлении </w:t>
      </w:r>
      <w:r>
        <w:rPr>
          <w:rFonts w:ascii="Times New Roman" w:hAnsi="Times New Roman"/>
          <w:sz w:val="28"/>
        </w:rPr>
        <w:t>внутритекстовых</w:t>
      </w:r>
      <w:r>
        <w:rPr>
          <w:rFonts w:ascii="Times New Roman" w:hAnsi="Times New Roman"/>
          <w:sz w:val="28"/>
        </w:rPr>
        <w:t xml:space="preserve"> ссылок применяется Гарвардский стиль: указывается фамилия автора, год издания источника и номер страницы (диапазон страниц) – при необходимости. Пример:</w:t>
      </w:r>
    </w:p>
    <w:p w14:paraId="9800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color w:val="FF0000"/>
          <w:sz w:val="28"/>
        </w:rPr>
      </w:pPr>
      <w:r>
        <w:rPr>
          <w:rFonts w:ascii="Times New Roman" w:hAnsi="Times New Roman"/>
          <w:i w:val="1"/>
          <w:color w:val="FF0000"/>
          <w:sz w:val="28"/>
        </w:rPr>
        <w:t xml:space="preserve">Е.А. Суханов указывает, что всякое </w:t>
      </w:r>
      <w:r>
        <w:rPr>
          <w:rFonts w:ascii="Times New Roman" w:hAnsi="Times New Roman"/>
          <w:i w:val="1"/>
          <w:color w:val="FF0000"/>
          <w:sz w:val="28"/>
        </w:rPr>
        <w:t>осуществление субъективного права способом, противоречащим достижению этих целей (социальному назначению права), либо при отсутствии охраняемого законом интереса, является недопустимым злоупотреблением предоставленным правом (Суханов, 2019:474).</w:t>
      </w:r>
    </w:p>
    <w:p w14:paraId="9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Ссылки на </w:t>
      </w:r>
      <w:r>
        <w:rPr>
          <w:rFonts w:ascii="Times New Roman" w:hAnsi="Times New Roman"/>
          <w:sz w:val="28"/>
        </w:rPr>
        <w:t>нормативные правовые и правоприменительные акты, материалы архивов, исторические документы, газетные статьи оформляются в виде подстрочных ссылок (сносок) и не включаются в библиографический список. Сноски оформляются как примечание, вынесенное из текста д</w:t>
      </w:r>
      <w:r>
        <w:rPr>
          <w:rFonts w:ascii="Times New Roman" w:hAnsi="Times New Roman"/>
          <w:sz w:val="28"/>
        </w:rPr>
        <w:t xml:space="preserve">окумента вниз полосы. Сноски должны быть постраничными и ставиться не вручную, а с помощью функции «Ссылки – Вставить сноску». </w:t>
      </w:r>
    </w:p>
    <w:p w14:paraId="9A000000">
      <w:pPr>
        <w:spacing w:after="0" w:line="276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 ссылки на нормативный правовой а</w:t>
      </w:r>
      <w:r>
        <w:rPr>
          <w:rFonts w:ascii="Times New Roman" w:hAnsi="Times New Roman"/>
          <w:sz w:val="28"/>
        </w:rPr>
        <w:t>кт вкл</w:t>
      </w:r>
      <w:r>
        <w:rPr>
          <w:rFonts w:ascii="Times New Roman" w:hAnsi="Times New Roman"/>
          <w:sz w:val="28"/>
        </w:rPr>
        <w:t>ючает в себя его название (без кавычек), вид, дату принятия, номер и источник опу</w:t>
      </w:r>
      <w:r>
        <w:rPr>
          <w:rFonts w:ascii="Times New Roman" w:hAnsi="Times New Roman"/>
          <w:sz w:val="28"/>
        </w:rPr>
        <w:t>бликования. Не рекомендуется оформление ссылок на наиболее известные нормативные правовые акты – Конституцию и кодексы.</w:t>
      </w:r>
    </w:p>
    <w:p w14:paraId="9B000000">
      <w:pPr>
        <w:spacing w:after="0"/>
        <w:ind/>
        <w:rPr>
          <w:rFonts w:ascii="Times New Roman" w:hAnsi="Times New Roman"/>
          <w:sz w:val="28"/>
        </w:rPr>
      </w:pPr>
      <w:r>
        <w:br w:type="page"/>
      </w:r>
    </w:p>
    <w:p w14:paraId="9C000000">
      <w:pPr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Образец оформления статьи</w:t>
      </w:r>
    </w:p>
    <w:p w14:paraId="9D000000">
      <w:pPr>
        <w:spacing w:after="0" w:line="360" w:lineRule="auto"/>
        <w:ind w:firstLine="0" w:left="360"/>
        <w:rPr>
          <w:rFonts w:ascii="Times New Roman" w:hAnsi="Times New Roman"/>
          <w:sz w:val="28"/>
        </w:rPr>
      </w:pPr>
    </w:p>
    <w:p w14:paraId="9E000000">
      <w:pPr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УДК 340.158</w:t>
      </w:r>
    </w:p>
    <w:p w14:paraId="9F000000">
      <w:pPr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Иван Иванович Иванов</w:t>
      </w:r>
    </w:p>
    <w:p w14:paraId="A0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доктор юридических наук, доцент, </w:t>
      </w:r>
    </w:p>
    <w:p w14:paraId="A1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профессор кафедры государственного управ</w:t>
      </w:r>
      <w:r>
        <w:rPr>
          <w:rFonts w:ascii="Times New Roman" w:hAnsi="Times New Roman"/>
          <w:sz w:val="28"/>
        </w:rPr>
        <w:t>ления</w:t>
      </w:r>
    </w:p>
    <w:p w14:paraId="A2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Сургутского</w:t>
      </w:r>
      <w:r>
        <w:rPr>
          <w:rFonts w:ascii="Times New Roman" w:hAnsi="Times New Roman"/>
          <w:sz w:val="28"/>
        </w:rPr>
        <w:t xml:space="preserve"> университета </w:t>
      </w:r>
    </w:p>
    <w:p w14:paraId="A3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ХМАО – Югра, Сургут, Россия </w:t>
      </w:r>
    </w:p>
    <w:p w14:paraId="A4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e-mail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"mailto:ivanov_ii@yandex.ru"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ivanov_ii@yandex.ru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A5000000">
      <w:pPr>
        <w:spacing w:after="0" w:line="360" w:lineRule="auto"/>
        <w:ind/>
        <w:rPr>
          <w:rFonts w:ascii="Times New Roman" w:hAnsi="Times New Roman"/>
          <w:sz w:val="28"/>
        </w:rPr>
      </w:pPr>
    </w:p>
    <w:p w14:paraId="A6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ПРАВОПРЕЕМСТВО В СОВРЕМЕННОМ РОССИЙСКОМ ГРАЖДАНСКОМ ПРАВЕ</w:t>
      </w:r>
    </w:p>
    <w:p w14:paraId="A7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Аннотация:</w:t>
      </w:r>
      <w:r>
        <w:rPr>
          <w:rFonts w:ascii="Times New Roman" w:hAnsi="Times New Roman"/>
          <w:sz w:val="28"/>
        </w:rPr>
        <w:t xml:space="preserve">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>.</w:t>
      </w:r>
    </w:p>
    <w:p w14:paraId="A8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Ключевые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слова:</w:t>
      </w:r>
      <w:r>
        <w:rPr>
          <w:rFonts w:ascii="Times New Roman" w:hAnsi="Times New Roman"/>
          <w:sz w:val="28"/>
        </w:rPr>
        <w:t xml:space="preserve"> слово (словосочетание), слово (словосочетание), слово (словосочетание), слово (словосочетание), слово (словосочетание), слово (словосочетание).</w:t>
      </w:r>
    </w:p>
    <w:p w14:paraId="A9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A000000">
      <w:pPr>
        <w:widowControl w:val="0"/>
        <w:spacing w:after="0" w:line="360" w:lineRule="auto"/>
        <w:ind w:firstLine="707" w:left="142" w:right="1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  <w:vertAlign w:val="superscript"/>
        </w:rPr>
        <w:footnoteReference w:id="1"/>
      </w:r>
      <w:r>
        <w:rPr>
          <w:rFonts w:ascii="Times New Roman" w:hAnsi="Times New Roman"/>
          <w:sz w:val="28"/>
        </w:rPr>
        <w:t>, текст</w:t>
      </w:r>
      <w:r>
        <w:rPr>
          <w:rFonts w:ascii="Times New Roman" w:hAnsi="Times New Roman"/>
          <w:sz w:val="28"/>
          <w:vertAlign w:val="superscript"/>
        </w:rPr>
        <w:footnoteReference w:id="2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Мелюханова</w:t>
      </w:r>
      <w:r>
        <w:rPr>
          <w:rFonts w:ascii="Times New Roman" w:hAnsi="Times New Roman"/>
          <w:sz w:val="28"/>
        </w:rPr>
        <w:t xml:space="preserve">, 2017:144)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Авакьян</w:t>
      </w:r>
      <w:r>
        <w:rPr>
          <w:rFonts w:ascii="Times New Roman" w:hAnsi="Times New Roman"/>
          <w:sz w:val="28"/>
        </w:rPr>
        <w:t xml:space="preserve">, 2015:25–34).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  <w:vertAlign w:val="superscript"/>
        </w:rPr>
        <w:footnoteReference w:id="3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  <w:vertAlign w:val="superscript"/>
        </w:rPr>
        <w:footnoteReference w:id="4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Sally</w:t>
      </w:r>
      <w:r>
        <w:rPr>
          <w:rFonts w:ascii="Times New Roman" w:hAnsi="Times New Roman"/>
          <w:sz w:val="28"/>
        </w:rPr>
        <w:t xml:space="preserve">, 1989:124).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  <w:vertAlign w:val="superscript"/>
        </w:rPr>
        <w:footnoteReference w:id="5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  <w:vertAlign w:val="superscript"/>
        </w:rPr>
        <w:footnoteReference w:id="6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Жумаканова</w:t>
      </w:r>
      <w:r>
        <w:rPr>
          <w:rFonts w:ascii="Times New Roman" w:hAnsi="Times New Roman"/>
          <w:sz w:val="28"/>
        </w:rPr>
        <w:t xml:space="preserve">, 2015). 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Текст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Chadda</w:t>
      </w:r>
      <w:r>
        <w:rPr>
          <w:rFonts w:ascii="Times New Roman" w:hAnsi="Times New Roman"/>
          <w:sz w:val="28"/>
        </w:rPr>
        <w:t>, 2006).</w:t>
      </w:r>
    </w:p>
    <w:p w14:paraId="AB000000">
      <w:pPr>
        <w:widowControl w:val="0"/>
        <w:spacing w:after="0" w:line="360" w:lineRule="auto"/>
        <w:ind w:firstLine="707" w:left="142" w:right="104"/>
        <w:jc w:val="both"/>
        <w:rPr>
          <w:rFonts w:ascii="Times New Roman" w:hAnsi="Times New Roman"/>
          <w:sz w:val="28"/>
        </w:rPr>
      </w:pPr>
    </w:p>
    <w:p w14:paraId="AC000000">
      <w:pPr>
        <w:widowControl w:val="0"/>
        <w:spacing w:after="0" w:line="360" w:lineRule="auto"/>
        <w:ind w:firstLine="707" w:left="142" w:right="104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Библиографический список</w:t>
      </w:r>
    </w:p>
    <w:p w14:paraId="AD000000">
      <w:pPr>
        <w:widowControl w:val="0"/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AE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>Авакьян</w:t>
      </w:r>
      <w:r>
        <w:rPr>
          <w:rFonts w:ascii="Times New Roman" w:hAnsi="Times New Roman"/>
          <w:i w:val="1"/>
          <w:sz w:val="28"/>
        </w:rPr>
        <w:t xml:space="preserve"> С. А. </w:t>
      </w:r>
      <w:r>
        <w:rPr>
          <w:rFonts w:ascii="Times New Roman" w:hAnsi="Times New Roman"/>
          <w:sz w:val="28"/>
        </w:rPr>
        <w:t xml:space="preserve">Выборы в России: эволюция избирательных систем, современные проблемы // </w:t>
      </w:r>
      <w:r>
        <w:rPr>
          <w:rFonts w:ascii="Times New Roman" w:hAnsi="Times New Roman"/>
          <w:sz w:val="28"/>
        </w:rPr>
        <w:t>Вестн</w:t>
      </w:r>
      <w:r>
        <w:rPr>
          <w:rFonts w:ascii="Times New Roman" w:hAnsi="Times New Roman"/>
          <w:sz w:val="28"/>
        </w:rPr>
        <w:t>. Московского ун-та. Сер. 11: Право. 2015. № 5. С.</w:t>
      </w:r>
      <w:r>
        <w:rPr>
          <w:rFonts w:ascii="Times New Roman" w:hAnsi="Times New Roman"/>
          <w:sz w:val="28"/>
        </w:rPr>
        <w:t xml:space="preserve"> 23–29.</w:t>
      </w:r>
    </w:p>
    <w:p w14:paraId="AF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 xml:space="preserve">Алексеев С. С., Прохоренко В. В., </w:t>
      </w:r>
      <w:r>
        <w:rPr>
          <w:rFonts w:ascii="Times New Roman" w:hAnsi="Times New Roman"/>
          <w:i w:val="1"/>
          <w:sz w:val="28"/>
        </w:rPr>
        <w:t>Пиликин</w:t>
      </w:r>
      <w:r>
        <w:rPr>
          <w:rFonts w:ascii="Times New Roman" w:hAnsi="Times New Roman"/>
          <w:i w:val="1"/>
          <w:sz w:val="28"/>
        </w:rPr>
        <w:t xml:space="preserve"> Г. Г. </w:t>
      </w:r>
      <w:r>
        <w:rPr>
          <w:rFonts w:ascii="Times New Roman" w:hAnsi="Times New Roman"/>
          <w:sz w:val="28"/>
        </w:rPr>
        <w:t>и др. Гражданское право: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/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од общ. ред. С. С. Алексеева, С. А. Степанова. 4-е изд., </w:t>
      </w:r>
      <w:r>
        <w:rPr>
          <w:rFonts w:ascii="Times New Roman" w:hAnsi="Times New Roman"/>
          <w:sz w:val="28"/>
        </w:rPr>
        <w:t>перераб</w:t>
      </w:r>
      <w:r>
        <w:rPr>
          <w:rFonts w:ascii="Times New Roman" w:hAnsi="Times New Roman"/>
          <w:sz w:val="28"/>
        </w:rPr>
        <w:t>. и доп. М., 2017. 670 с.</w:t>
      </w:r>
    </w:p>
    <w:p w14:paraId="B0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 xml:space="preserve">Берман Г. Дж. </w:t>
      </w:r>
      <w:r>
        <w:rPr>
          <w:rFonts w:ascii="Times New Roman" w:hAnsi="Times New Roman"/>
          <w:sz w:val="28"/>
        </w:rPr>
        <w:t>Западная традиция права: эпоха формирования / пер. с англ. М.,</w:t>
      </w:r>
      <w:r>
        <w:rPr>
          <w:rFonts w:ascii="Times New Roman" w:hAnsi="Times New Roman"/>
          <w:sz w:val="28"/>
        </w:rPr>
        <w:t xml:space="preserve"> 1994. 335 с.</w: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column">
                  <wp:posOffset>1617980</wp:posOffset>
                </wp:positionH>
                <wp:positionV relativeFrom="paragraph">
                  <wp:posOffset>349250</wp:posOffset>
                </wp:positionV>
                <wp:extent cx="45720" cy="179705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5720" cy="17970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1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>Мелюханова</w:t>
      </w:r>
      <w:r>
        <w:rPr>
          <w:rFonts w:ascii="Times New Roman" w:hAnsi="Times New Roman"/>
          <w:i w:val="1"/>
          <w:sz w:val="28"/>
        </w:rPr>
        <w:t xml:space="preserve"> Е. Е. </w:t>
      </w:r>
      <w:r>
        <w:rPr>
          <w:rFonts w:ascii="Times New Roman" w:hAnsi="Times New Roman"/>
          <w:sz w:val="28"/>
        </w:rPr>
        <w:t xml:space="preserve">Система наказаний: статическая и динамическая характеристики (монография). М.: </w:t>
      </w:r>
      <w:r>
        <w:rPr>
          <w:rFonts w:ascii="Times New Roman" w:hAnsi="Times New Roman"/>
          <w:sz w:val="28"/>
        </w:rPr>
        <w:t>Юрлитинформ</w:t>
      </w:r>
      <w:r>
        <w:rPr>
          <w:rFonts w:ascii="Times New Roman" w:hAnsi="Times New Roman"/>
          <w:sz w:val="28"/>
        </w:rPr>
        <w:t>, 2017. 240 с.</w:t>
      </w:r>
    </w:p>
    <w:p w14:paraId="B2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 xml:space="preserve">Гартман Н. </w:t>
      </w:r>
      <w:r>
        <w:rPr>
          <w:rFonts w:ascii="Times New Roman" w:hAnsi="Times New Roman"/>
          <w:sz w:val="28"/>
        </w:rPr>
        <w:t>Старая и новая онтология // Онтология. Тексты философии: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особие для вузов / ред.-сост. В. Ю. Кузнецов</w:t>
      </w:r>
      <w:r>
        <w:rPr>
          <w:rFonts w:ascii="Times New Roman" w:hAnsi="Times New Roman"/>
          <w:sz w:val="28"/>
        </w:rPr>
        <w:t>. М., 2011. С. 435–440.</w:t>
      </w:r>
    </w:p>
    <w:p w14:paraId="B3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>Жумаканова</w:t>
      </w:r>
      <w:r>
        <w:rPr>
          <w:rFonts w:ascii="Times New Roman" w:hAnsi="Times New Roman"/>
          <w:i w:val="1"/>
          <w:sz w:val="28"/>
        </w:rPr>
        <w:t xml:space="preserve"> Н. А. </w:t>
      </w:r>
      <w:r>
        <w:rPr>
          <w:rFonts w:ascii="Times New Roman" w:hAnsi="Times New Roman"/>
          <w:sz w:val="28"/>
        </w:rPr>
        <w:t xml:space="preserve">Отказ прокурора от обвинения: вопросы теории и практики: </w:t>
      </w:r>
      <w:r>
        <w:rPr>
          <w:rFonts w:ascii="Times New Roman" w:hAnsi="Times New Roman"/>
          <w:sz w:val="28"/>
        </w:rPr>
        <w:t>дис</w:t>
      </w:r>
      <w:r>
        <w:rPr>
          <w:rFonts w:ascii="Times New Roman" w:hAnsi="Times New Roman"/>
          <w:sz w:val="28"/>
        </w:rPr>
        <w:t xml:space="preserve">. ... канд. </w:t>
      </w:r>
      <w:r>
        <w:rPr>
          <w:rFonts w:ascii="Times New Roman" w:hAnsi="Times New Roman"/>
          <w:sz w:val="28"/>
        </w:rPr>
        <w:t>юрид</w:t>
      </w:r>
      <w:r>
        <w:rPr>
          <w:rFonts w:ascii="Times New Roman" w:hAnsi="Times New Roman"/>
          <w:sz w:val="28"/>
        </w:rPr>
        <w:t>. наук. Екатеринбург, 2015. 189 с.</w:t>
      </w:r>
    </w:p>
    <w:p w14:paraId="B4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sz w:val="28"/>
        </w:rPr>
        <w:t>Законодательная техника: науч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практ</w:t>
      </w:r>
      <w:r>
        <w:rPr>
          <w:rFonts w:ascii="Times New Roman" w:hAnsi="Times New Roman"/>
          <w:sz w:val="28"/>
        </w:rPr>
        <w:t xml:space="preserve">. пособие / под ред. Ю. А. </w:t>
      </w:r>
      <w:r>
        <w:rPr>
          <w:rFonts w:ascii="Times New Roman" w:hAnsi="Times New Roman"/>
          <w:sz w:val="28"/>
        </w:rPr>
        <w:t>Тихомирова. М., 2000. 234 с.</w:t>
      </w:r>
    </w:p>
    <w:p w14:paraId="B5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 xml:space="preserve">Краснова С. </w:t>
      </w:r>
      <w:r>
        <w:rPr>
          <w:rFonts w:ascii="Times New Roman" w:hAnsi="Times New Roman"/>
          <w:i w:val="1"/>
          <w:sz w:val="28"/>
        </w:rPr>
        <w:t xml:space="preserve">А. </w:t>
      </w:r>
      <w:r>
        <w:rPr>
          <w:rFonts w:ascii="Times New Roman" w:hAnsi="Times New Roman"/>
          <w:sz w:val="28"/>
        </w:rPr>
        <w:t>Проявления диспозитивности в сфере защиты гражданских прав // Седьмой Пермский конгресс ученых-юристов: сб. науч. ст. / отв. ред. В. Г. Голубцов, О. А. Кузнецова. М, 2017. С. 324–335.</w:t>
      </w:r>
    </w:p>
    <w:p w14:paraId="B6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 xml:space="preserve">Постников А. Е. </w:t>
      </w:r>
      <w:r>
        <w:rPr>
          <w:rFonts w:ascii="Times New Roman" w:hAnsi="Times New Roman"/>
          <w:sz w:val="28"/>
        </w:rPr>
        <w:t>Избирательное право России. М., 2003. 789 с.</w:t>
      </w:r>
    </w:p>
    <w:p w14:paraId="B7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>Савельев</w:t>
      </w:r>
      <w:r>
        <w:rPr>
          <w:rFonts w:ascii="Times New Roman" w:hAnsi="Times New Roman"/>
          <w:i w:val="1"/>
          <w:sz w:val="28"/>
        </w:rPr>
        <w:t xml:space="preserve"> И. В. </w:t>
      </w:r>
      <w:r>
        <w:rPr>
          <w:rFonts w:ascii="Times New Roman" w:hAnsi="Times New Roman"/>
          <w:sz w:val="28"/>
        </w:rPr>
        <w:t>Курс общей физики: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особие. М., 2003. 148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>винцов</w:t>
      </w:r>
      <w:r>
        <w:rPr>
          <w:rFonts w:ascii="Times New Roman" w:hAnsi="Times New Roman"/>
          <w:i w:val="1"/>
          <w:sz w:val="28"/>
        </w:rPr>
        <w:t xml:space="preserve"> В. И. </w:t>
      </w:r>
      <w:r>
        <w:rPr>
          <w:rFonts w:ascii="Times New Roman" w:hAnsi="Times New Roman"/>
          <w:sz w:val="28"/>
        </w:rPr>
        <w:t xml:space="preserve">Логические основы редактирования текста: </w:t>
      </w:r>
      <w:r>
        <w:rPr>
          <w:rFonts w:ascii="Times New Roman" w:hAnsi="Times New Roman"/>
          <w:sz w:val="28"/>
        </w:rPr>
        <w:t>дис</w:t>
      </w:r>
      <w:r>
        <w:rPr>
          <w:rFonts w:ascii="Times New Roman" w:hAnsi="Times New Roman"/>
          <w:sz w:val="28"/>
        </w:rPr>
        <w:t xml:space="preserve"> д-ра </w:t>
      </w:r>
      <w:r>
        <w:rPr>
          <w:rFonts w:ascii="Times New Roman" w:hAnsi="Times New Roman"/>
          <w:sz w:val="28"/>
        </w:rPr>
        <w:t>филол</w:t>
      </w:r>
      <w:r>
        <w:rPr>
          <w:rFonts w:ascii="Times New Roman" w:hAnsi="Times New Roman"/>
          <w:sz w:val="28"/>
        </w:rPr>
        <w:t>. наук.</w:t>
      </w:r>
    </w:p>
    <w:p w14:paraId="B8000000">
      <w:pPr>
        <w:widowControl w:val="0"/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М., 2005. 567 с.</w:t>
      </w:r>
    </w:p>
    <w:p w14:paraId="B9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>Скачкова</w:t>
      </w:r>
      <w:r>
        <w:rPr>
          <w:rFonts w:ascii="Times New Roman" w:hAnsi="Times New Roman"/>
          <w:i w:val="1"/>
          <w:sz w:val="28"/>
        </w:rPr>
        <w:t xml:space="preserve"> Г. С. </w:t>
      </w:r>
      <w:r>
        <w:rPr>
          <w:rFonts w:ascii="Times New Roman" w:hAnsi="Times New Roman"/>
          <w:sz w:val="28"/>
        </w:rPr>
        <w:t>Комментарий к Трудовому кодексу Российской Федерации (постатейный). М., 2020. 986 с.</w:t>
      </w:r>
    </w:p>
    <w:p w14:paraId="BA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sz w:val="28"/>
        </w:rPr>
        <w:t>Уголо</w:t>
      </w:r>
      <w:r>
        <w:rPr>
          <w:rFonts w:ascii="Times New Roman" w:hAnsi="Times New Roman"/>
          <w:sz w:val="28"/>
        </w:rPr>
        <w:t>вное право России: курс лекций: в 6 т. Саратов, 2004. Т. 1. 876 с.</w:t>
      </w:r>
    </w:p>
    <w:p w14:paraId="BB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 xml:space="preserve">Уваров А. А. </w:t>
      </w:r>
      <w:r>
        <w:rPr>
          <w:rFonts w:ascii="Times New Roman" w:hAnsi="Times New Roman"/>
          <w:sz w:val="28"/>
        </w:rPr>
        <w:t>Муниципальная собственность // Журн. рос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рава. 1999. № 3. С. 45– 48.</w:t>
      </w:r>
    </w:p>
    <w:p w14:paraId="BC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>Хасенова</w:t>
      </w:r>
      <w:r>
        <w:rPr>
          <w:rFonts w:ascii="Times New Roman" w:hAnsi="Times New Roman"/>
          <w:i w:val="1"/>
          <w:sz w:val="28"/>
        </w:rPr>
        <w:t xml:space="preserve"> А. Р. </w:t>
      </w:r>
      <w:r>
        <w:rPr>
          <w:rFonts w:ascii="Times New Roman" w:hAnsi="Times New Roman"/>
          <w:sz w:val="28"/>
        </w:rPr>
        <w:t xml:space="preserve">К вопросу о предмете взятки // Правовая система Казахстана в условиях модернизации национального правосознания: материалы </w:t>
      </w:r>
      <w:r>
        <w:rPr>
          <w:rFonts w:ascii="Times New Roman" w:hAnsi="Times New Roman"/>
          <w:sz w:val="28"/>
        </w:rPr>
        <w:t>Междунар</w:t>
      </w:r>
      <w:r>
        <w:rPr>
          <w:rFonts w:ascii="Times New Roman" w:hAnsi="Times New Roman"/>
          <w:sz w:val="28"/>
        </w:rPr>
        <w:t>. науч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практ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конф</w:t>
      </w:r>
      <w:r>
        <w:rPr>
          <w:rFonts w:ascii="Times New Roman" w:hAnsi="Times New Roman"/>
          <w:sz w:val="28"/>
        </w:rPr>
        <w:t>. (Караганда, 23–24 ноября 2018 г.). Караганда, 2018. С. 123–130.</w:t>
      </w:r>
    </w:p>
    <w:p w14:paraId="BD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 xml:space="preserve">Sally A. </w:t>
      </w:r>
      <w:r>
        <w:rPr>
          <w:rFonts w:ascii="Times New Roman" w:hAnsi="Times New Roman"/>
          <w:sz w:val="28"/>
        </w:rPr>
        <w:t>Legislative-policy initiatives a</w:t>
      </w:r>
      <w:r>
        <w:rPr>
          <w:rFonts w:ascii="Times New Roman" w:hAnsi="Times New Roman"/>
          <w:sz w:val="28"/>
        </w:rPr>
        <w:t xml:space="preserve">s a problem-solving process: The case of technology transfer // The Journal of Technology Transfer. </w:t>
      </w:r>
      <w:r>
        <w:rPr>
          <w:rFonts w:ascii="Times New Roman" w:hAnsi="Times New Roman"/>
          <w:sz w:val="28"/>
        </w:rPr>
        <w:t>1989. № 14. P. 123–136.</w:t>
      </w:r>
    </w:p>
    <w:p w14:paraId="BE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sz w:val="28"/>
        </w:rPr>
        <w:t xml:space="preserve">Security and Privacy in Cyber-Physical Systems. Foundations, Principles, and Applications / ed. by H. Song, G. A. Fink, S. </w:t>
      </w:r>
      <w:r>
        <w:rPr>
          <w:rFonts w:ascii="Times New Roman" w:hAnsi="Times New Roman"/>
          <w:sz w:val="28"/>
        </w:rPr>
        <w:t>Jeschke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New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Jersey</w:t>
      </w:r>
      <w:r>
        <w:rPr>
          <w:rFonts w:ascii="Times New Roman" w:hAnsi="Times New Roman"/>
          <w:sz w:val="28"/>
        </w:rPr>
        <w:t>, 2018. 234 p.</w:t>
      </w:r>
    </w:p>
    <w:p w14:paraId="BF000000">
      <w:pPr>
        <w:widowControl w:val="0"/>
        <w:numPr>
          <w:ilvl w:val="0"/>
          <w:numId w:val="7"/>
        </w:numPr>
        <w:tabs>
          <w:tab w:leader="none" w:pos="862" w:val="left"/>
        </w:tabs>
        <w:spacing w:after="0" w:line="360" w:lineRule="auto"/>
        <w:ind w:firstLine="0" w:left="0"/>
        <w:jc w:val="both"/>
      </w:pPr>
      <w:r>
        <w:rPr>
          <w:rFonts w:ascii="Times New Roman" w:hAnsi="Times New Roman"/>
          <w:i w:val="1"/>
          <w:sz w:val="28"/>
        </w:rPr>
        <w:t>Chadda</w:t>
      </w:r>
      <w:r>
        <w:rPr>
          <w:rFonts w:ascii="Times New Roman" w:hAnsi="Times New Roman"/>
          <w:i w:val="1"/>
          <w:sz w:val="28"/>
        </w:rPr>
        <w:t xml:space="preserve"> M. </w:t>
      </w:r>
      <w:r>
        <w:rPr>
          <w:rFonts w:ascii="Times New Roman" w:hAnsi="Times New Roman"/>
          <w:sz w:val="28"/>
        </w:rPr>
        <w:t xml:space="preserve">Minority Rights and Conflict Prevention: Case Study of Conflicts in Indian Jammu     and     Kashmir, Punjab     and     Nagaland (August     2006)     // URL: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"http://minorityrights.org/wp-content/uploads/old-site-downloads/download"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http://minorityrights.org/wp-content/uploads/old-site-downloads/download...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(дата обращения: 19.06.2017).</w:t>
      </w:r>
    </w:p>
    <w:p w14:paraId="C0000000">
      <w:pPr>
        <w:widowControl w:val="0"/>
        <w:tabs>
          <w:tab w:leader="none" w:pos="862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C1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Ivan </w:t>
      </w:r>
      <w:r>
        <w:rPr>
          <w:rFonts w:ascii="Times New Roman" w:hAnsi="Times New Roman"/>
          <w:sz w:val="28"/>
        </w:rPr>
        <w:t>Iv</w:t>
      </w:r>
      <w:r>
        <w:rPr>
          <w:rFonts w:ascii="Times New Roman" w:hAnsi="Times New Roman"/>
          <w:sz w:val="28"/>
        </w:rPr>
        <w:t xml:space="preserve">. Ivanov </w:t>
      </w:r>
    </w:p>
    <w:p w14:paraId="C2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Doctor of Juridical Sciences, Professor </w:t>
      </w:r>
    </w:p>
    <w:p w14:paraId="C3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Department of State Management</w:t>
      </w:r>
    </w:p>
    <w:p w14:paraId="C4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Surgut University </w:t>
      </w:r>
    </w:p>
    <w:p w14:paraId="C5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Surgut, Russia</w:t>
      </w:r>
    </w:p>
    <w:p w14:paraId="C6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e-mail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"mailto:ivanov_ii@yandex.ru"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ivanov_ii@yandex.ru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7000000">
      <w:pPr>
        <w:spacing w:after="0" w:line="360" w:lineRule="auto"/>
        <w:ind/>
        <w:rPr>
          <w:rFonts w:ascii="Times New Roman" w:hAnsi="Times New Roman"/>
          <w:sz w:val="28"/>
        </w:rPr>
      </w:pPr>
    </w:p>
    <w:p w14:paraId="C8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SUCCESSION IN MODERN RUSSIAN CIVIL LAW</w:t>
      </w:r>
    </w:p>
    <w:p w14:paraId="C9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Abstract</w:t>
      </w:r>
      <w:r>
        <w:rPr>
          <w:rFonts w:ascii="Times New Roman" w:hAnsi="Times New Roman"/>
          <w:sz w:val="28"/>
        </w:rPr>
        <w:t xml:space="preserve">: Text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Text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Text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Text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text</w:t>
      </w:r>
      <w:r>
        <w:rPr>
          <w:rFonts w:ascii="Times New Roman" w:hAnsi="Times New Roman"/>
          <w:sz w:val="28"/>
        </w:rPr>
        <w:t>.</w:t>
      </w:r>
    </w:p>
    <w:p w14:paraId="CA000000">
      <w:pPr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Keywords</w:t>
      </w:r>
      <w:r>
        <w:rPr>
          <w:rFonts w:ascii="Times New Roman" w:hAnsi="Times New Roman"/>
          <w:sz w:val="28"/>
        </w:rPr>
        <w:t>: word, word, word, word, word.</w:t>
      </w:r>
    </w:p>
    <w:p w14:paraId="CB000000">
      <w:pPr>
        <w:spacing w:after="0"/>
        <w:ind/>
      </w:pPr>
    </w:p>
    <w:p w14:paraId="CC000000"/>
    <w:sectPr>
      <w:headerReference r:id="rId7" w:type="default"/>
      <w:headerReference r:id="rId11" w:type="first"/>
      <w:headerReference r:id="rId5" w:type="even"/>
      <w:footerReference r:id="rId8" w:type="default"/>
      <w:footerReference r:id="rId12" w:type="first"/>
      <w:footerReference r:id="rId6" w:type="even"/>
      <w:pgSz w:h="16838" w:orient="portrait" w:w="11906"/>
      <w:pgMar w:bottom="1134" w:footer="708" w:gutter="0" w:header="708" w:left="1701" w:right="850" w:top="1134"/>
      <w:pgNumType w:start="1"/>
    </w:sectPr>
  </w:body>
</w:document>
</file>

<file path=word/endnotes.xml><?xml version="1.0" encoding="utf-8"?>
<w:end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<w:endnote w:id="-1" w:type="separator">
    <w:p>
      <w:r>
        <w:separator/>
      </w:r>
    </w:p>
  </w:endnote>
  <w:endnote w:id="0" w:type="continuationSeparator">
    <w:p>
      <w:r>
        <w:continuationSeparator/>
      </w:r>
    </w:p>
  </w:endnote>
</w:endnotes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pPr>
      <w:tabs>
        <w:tab w:leader="none" w:pos="4677" w:val="center"/>
        <w:tab w:leader="none" w:pos="9355" w:val="right"/>
      </w:tabs>
      <w:spacing w:after="0" w:line="240" w:lineRule="auto"/>
      <w:ind/>
    </w:pP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>
    <w:pPr>
      <w:tabs>
        <w:tab w:leader="none" w:pos="4677" w:val="center"/>
        <w:tab w:leader="none" w:pos="9355" w:val="right"/>
      </w:tabs>
      <w:spacing w:after="0" w:line="240" w:lineRule="auto"/>
      <w:ind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tabs>
        <w:tab w:leader="none" w:pos="4677" w:val="center"/>
        <w:tab w:leader="none" w:pos="9355" w:val="right"/>
      </w:tabs>
      <w:spacing w:after="0" w:line="240" w:lineRule="auto"/>
      <w:ind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tabs>
        <w:tab w:leader="none" w:pos="4677" w:val="center"/>
        <w:tab w:leader="none" w:pos="9355" w:val="right"/>
      </w:tabs>
      <w:spacing w:after="0" w:line="240" w:lineRule="auto"/>
      <w:ind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tabs>
        <w:tab w:leader="none" w:pos="4677" w:val="center"/>
        <w:tab w:leader="none" w:pos="9355" w:val="right"/>
      </w:tabs>
      <w:spacing w:after="0" w:line="240" w:lineRule="auto"/>
      <w:ind/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tabs>
        <w:tab w:leader="none" w:pos="4677" w:val="center"/>
        <w:tab w:leader="none" w:pos="9355" w:val="right"/>
      </w:tabs>
      <w:spacing w:after="0" w:line="240" w:lineRule="auto"/>
      <w:ind/>
    </w:pPr>
  </w:p>
</w:ftr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CD00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О закрытом административно-территориальном образовании: Закон РФ от 14 июля 2002 г. // Рос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аз. 2002. 20 июля.</w:t>
      </w:r>
    </w:p>
  </w:footnote>
  <w:footnote w:id="2">
    <w:p w14:paraId="CE00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О Регламенте Правительства Российской Федерации и Положении об Аппарате Правительства Российской Федерации: постановление Правительства РФ от 5 октября 2000 г. № 760</w:t>
      </w:r>
      <w:r>
        <w:rPr>
          <w:rFonts w:ascii="Times New Roman" w:hAnsi="Times New Roman"/>
          <w:sz w:val="20"/>
        </w:rPr>
        <w:t xml:space="preserve"> // С</w:t>
      </w:r>
      <w:r>
        <w:rPr>
          <w:rFonts w:ascii="Times New Roman" w:hAnsi="Times New Roman"/>
          <w:sz w:val="20"/>
        </w:rPr>
        <w:t>обр. законодательства Рос. Федерации. 2000. № 41. Ст. 4091.</w:t>
      </w:r>
    </w:p>
  </w:footnote>
  <w:footnote w:id="3">
    <w:p w14:paraId="CF00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Статистический анализ ф</w:t>
      </w:r>
      <w:r>
        <w:rPr>
          <w:rFonts w:ascii="Times New Roman" w:hAnsi="Times New Roman"/>
          <w:sz w:val="20"/>
        </w:rPr>
        <w:t>едерального законодательства // URL: https://</w:t>
      </w: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>HYPERLINK "http://www.garant.ru/files/8/0/1090708/issledovanie_tssr_statistika_po_zakonoproektam.pdf"</w:instrText>
      </w:r>
      <w:r>
        <w:rPr>
          <w:rFonts w:ascii="Times New Roman" w:hAnsi="Times New Roman"/>
          <w:sz w:val="20"/>
        </w:rPr>
        <w:fldChar w:fldCharType="separate"/>
      </w:r>
      <w:r>
        <w:rPr>
          <w:rFonts w:ascii="Times New Roman" w:hAnsi="Times New Roman"/>
          <w:sz w:val="20"/>
        </w:rPr>
        <w:t xml:space="preserve">www.garant.ru/files/8/0/1090708/issledovanie_tssr_statistika_po_zakonoproektam.pdf. </w:t>
      </w:r>
      <w:r>
        <w:rPr>
          <w:rFonts w:ascii="Times New Roman" w:hAnsi="Times New Roman"/>
          <w:sz w:val="20"/>
        </w:rPr>
        <w:fldChar w:fldCharType="end"/>
      </w:r>
      <w:r>
        <w:rPr>
          <w:rFonts w:ascii="Times New Roman" w:hAnsi="Times New Roman"/>
          <w:sz w:val="20"/>
        </w:rPr>
        <w:t>(дата обращения: 23.04.</w:t>
      </w:r>
      <w:r>
        <w:rPr>
          <w:rFonts w:ascii="Times New Roman" w:hAnsi="Times New Roman"/>
          <w:sz w:val="20"/>
        </w:rPr>
        <w:t>2020).</w:t>
      </w:r>
    </w:p>
  </w:footnote>
  <w:footnote w:id="4">
    <w:p w14:paraId="D000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О противодействии терроризму [Электронный ресурс]: </w:t>
      </w:r>
      <w:r>
        <w:rPr>
          <w:rFonts w:ascii="Times New Roman" w:hAnsi="Times New Roman"/>
          <w:sz w:val="20"/>
        </w:rPr>
        <w:t>федер</w:t>
      </w:r>
      <w:r>
        <w:rPr>
          <w:rFonts w:ascii="Times New Roman" w:hAnsi="Times New Roman"/>
          <w:sz w:val="20"/>
        </w:rPr>
        <w:t>. закон</w:t>
      </w:r>
      <w:r>
        <w:rPr>
          <w:rFonts w:ascii="Times New Roman" w:hAnsi="Times New Roman"/>
          <w:sz w:val="20"/>
        </w:rPr>
        <w:t xml:space="preserve"> Р</w:t>
      </w:r>
      <w:r>
        <w:rPr>
          <w:rFonts w:ascii="Times New Roman" w:hAnsi="Times New Roman"/>
          <w:sz w:val="20"/>
        </w:rPr>
        <w:t xml:space="preserve">ос. Федерации от 06 марта 2006 г. № 35-Ф3 // Официальный интернет-портал правовой информации. Режим доступа: </w:t>
      </w: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>HYPERLINK "http://pravo.gov.ru/"</w:instrText>
      </w:r>
      <w:r>
        <w:rPr>
          <w:rFonts w:ascii="Times New Roman" w:hAnsi="Times New Roman"/>
          <w:sz w:val="20"/>
        </w:rPr>
        <w:fldChar w:fldCharType="separate"/>
      </w:r>
      <w:r>
        <w:rPr>
          <w:rFonts w:ascii="Times New Roman" w:hAnsi="Times New Roman"/>
          <w:sz w:val="20"/>
        </w:rPr>
        <w:t>http://pravo.gov.ru/</w:t>
      </w:r>
      <w:r>
        <w:rPr>
          <w:rFonts w:ascii="Times New Roman" w:hAnsi="Times New Roman"/>
          <w:sz w:val="20"/>
        </w:rPr>
        <w:fldChar w:fldCharType="end"/>
      </w:r>
      <w:r>
        <w:rPr>
          <w:rFonts w:ascii="Times New Roman" w:hAnsi="Times New Roman"/>
          <w:sz w:val="20"/>
        </w:rPr>
        <w:t xml:space="preserve"> (дата обращения: </w:t>
      </w:r>
      <w:r>
        <w:rPr>
          <w:rFonts w:ascii="Times New Roman" w:hAnsi="Times New Roman"/>
          <w:sz w:val="20"/>
        </w:rPr>
        <w:t>05.05.2015).</w:t>
      </w:r>
    </w:p>
  </w:footnote>
  <w:footnote w:id="5">
    <w:p w14:paraId="D100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Апелляционное определение СК по административным делам Санкт-Петербургского городского суда от 07 сентября 2015 г. по делу № 33- 15127/2015. Документ опубликован не был. Доступ из системы Гарант.</w:t>
      </w:r>
    </w:p>
  </w:footnote>
  <w:footnote w:id="6">
    <w:p w14:paraId="D200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О введении надбавок за сложность, напряженн</w:t>
      </w:r>
      <w:r>
        <w:rPr>
          <w:rFonts w:ascii="Times New Roman" w:hAnsi="Times New Roman"/>
          <w:sz w:val="20"/>
        </w:rPr>
        <w:t>ость и высокое качество работы [Электронный ресурс]: указание М-</w:t>
      </w:r>
      <w:r>
        <w:rPr>
          <w:rFonts w:ascii="Times New Roman" w:hAnsi="Times New Roman"/>
          <w:sz w:val="20"/>
        </w:rPr>
        <w:t>ва</w:t>
      </w:r>
      <w:r>
        <w:rPr>
          <w:rFonts w:ascii="Times New Roman" w:hAnsi="Times New Roman"/>
          <w:sz w:val="20"/>
        </w:rPr>
        <w:t xml:space="preserve"> соц. защиты</w:t>
      </w:r>
      <w:r>
        <w:rPr>
          <w:rFonts w:ascii="Times New Roman" w:hAnsi="Times New Roman"/>
          <w:sz w:val="20"/>
        </w:rPr>
        <w:t xml:space="preserve"> Р</w:t>
      </w:r>
      <w:r>
        <w:rPr>
          <w:rFonts w:ascii="Times New Roman" w:hAnsi="Times New Roman"/>
          <w:sz w:val="20"/>
        </w:rPr>
        <w:t>ос. Федерации от 14 июля 1992 г. № 14-У. Документ опубликован не был. Доступ из справ</w:t>
      </w:r>
      <w:r>
        <w:rPr>
          <w:rFonts w:ascii="Times New Roman" w:hAnsi="Times New Roman"/>
          <w:sz w:val="20"/>
        </w:rPr>
        <w:t>.-</w:t>
      </w:r>
      <w:r>
        <w:rPr>
          <w:rFonts w:ascii="Times New Roman" w:hAnsi="Times New Roman"/>
          <w:sz w:val="20"/>
        </w:rPr>
        <w:t>правовой системы «</w:t>
      </w:r>
      <w:r>
        <w:rPr>
          <w:rFonts w:ascii="Times New Roman" w:hAnsi="Times New Roman"/>
          <w:sz w:val="20"/>
        </w:rPr>
        <w:t>КoнcультaнтПлюc</w:t>
      </w:r>
      <w:r>
        <w:rPr>
          <w:rFonts w:ascii="Times New Roman" w:hAnsi="Times New Roman"/>
          <w:sz w:val="20"/>
        </w:rPr>
        <w:t>».</w:t>
      </w:r>
    </w:p>
    <w:p w14:paraId="D300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</w:p>
  </w:footnote>
</w:footnote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tabs>
        <w:tab w:leader="none" w:pos="4677" w:val="center"/>
        <w:tab w:leader="none" w:pos="9355" w:val="right"/>
      </w:tabs>
      <w:spacing w:after="0" w:line="240" w:lineRule="auto"/>
      <w:ind/>
    </w:pPr>
    <w:r>
      <w:drawing>
        <wp:anchor allowOverlap="true" behindDoc="true" distB="0" distL="114300" distR="114300" distT="0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0</wp:posOffset>
          </wp:positionV>
          <wp:extent cx="5933440" cy="5933440"/>
          <wp:effectExtent b="0" l="0" r="0" t="0"/>
          <wp:wrapNone/>
          <wp:docPr hidden="false" id="1" name="Picture 1"/>
          <a:graphic>
            <a:graphicData uri="http://schemas.openxmlformats.org/drawingml/2006/picture">
              <pic:pic>
                <pic:nvPicPr>
                  <pic:cNvPr hidden="false" id="2" name="Picture 2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933440" cy="593344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>
    <w:pPr>
      <w:tabs>
        <w:tab w:leader="none" w:pos="4677" w:val="center"/>
        <w:tab w:leader="none" w:pos="9355" w:val="right"/>
      </w:tabs>
      <w:spacing w:after="0" w:line="240" w:lineRule="auto"/>
      <w:ind/>
    </w:pPr>
    <w:r>
      <w:drawing>
        <wp:anchor allowOverlap="true" behindDoc="true" distB="0" distL="114300" distR="114300" distT="0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0</wp:posOffset>
          </wp:positionV>
          <wp:extent cx="5933440" cy="5933440"/>
          <wp:effectExtent b="0" l="0" r="0" t="0"/>
          <wp:wrapNone/>
          <wp:docPr hidden="false" id="11" name="Picture 11"/>
          <a:graphic>
            <a:graphicData uri="http://schemas.openxmlformats.org/drawingml/2006/picture">
              <pic:pic>
                <pic:nvPicPr>
                  <pic:cNvPr hidden="false" id="12" name="Picture 12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933440" cy="593344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tabs>
        <w:tab w:leader="none" w:pos="4677" w:val="center"/>
        <w:tab w:leader="none" w:pos="9355" w:val="right"/>
      </w:tabs>
      <w:spacing w:after="0" w:line="240" w:lineRule="auto"/>
      <w:ind/>
    </w:pPr>
    <w:r>
      <w:drawing>
        <wp:anchor allowOverlap="true" behindDoc="true" distB="0" distL="114300" distR="114300" distT="0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0</wp:posOffset>
          </wp:positionV>
          <wp:extent cx="5933440" cy="5933440"/>
          <wp:effectExtent b="0" l="0" r="0" t="0"/>
          <wp:wrapNone/>
          <wp:docPr hidden="false" id="3" name="Picture 3"/>
          <a:graphic>
            <a:graphicData uri="http://schemas.openxmlformats.org/drawingml/2006/picture">
              <pic:pic>
                <pic:nvPicPr>
                  <pic:cNvPr hidden="false" id="4" name="Picture 4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933440" cy="593344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tabs>
        <w:tab w:leader="none" w:pos="4677" w:val="center"/>
        <w:tab w:leader="none" w:pos="9355" w:val="right"/>
      </w:tabs>
      <w:spacing w:after="0" w:line="240" w:lineRule="auto"/>
      <w:ind/>
    </w:pPr>
    <w:r>
      <w:drawing>
        <wp:anchor allowOverlap="true" behindDoc="true" distB="0" distL="114300" distR="114300" distT="0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0</wp:posOffset>
          </wp:positionV>
          <wp:extent cx="5933440" cy="5933440"/>
          <wp:effectExtent b="0" l="0" r="0" t="0"/>
          <wp:wrapNone/>
          <wp:docPr hidden="false" id="5" name="Picture 5"/>
          <a:graphic>
            <a:graphicData uri="http://schemas.openxmlformats.org/drawingml/2006/picture">
              <pic:pic>
                <pic:nvPicPr>
                  <pic:cNvPr hidden="false" id="6" name="Picture 6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933440" cy="593344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ind/>
      <w:jc w:val="center"/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PAGE </w:instrText>
    </w:r>
    <w:r>
      <w:rPr>
        <w:rFonts w:ascii="Calibri" w:hAnsi="Calibri"/>
      </w:rPr>
      <w:fldChar w:fldCharType="separate"/>
    </w:r>
    <w:r>
      <w:rPr>
        <w:rFonts w:ascii="Calibri" w:hAnsi="Calibri"/>
      </w:rPr>
      <w:t xml:space="preserve"> </w:t>
    </w:r>
    <w:r>
      <w:rPr>
        <w:rFonts w:ascii="Calibri" w:hAnsi="Calibri"/>
      </w:rPr>
      <w:fldChar w:fldCharType="end"/>
    </w:r>
  </w:p>
  <w:p w14:paraId="08000000">
    <w:pPr>
      <w:tabs>
        <w:tab w:leader="none" w:pos="4677" w:val="center"/>
        <w:tab w:leader="none" w:pos="9355" w:val="right"/>
      </w:tabs>
      <w:spacing w:after="0" w:line="240" w:lineRule="auto"/>
      <w:ind/>
    </w:pPr>
    <w:r>
      <w:drawing>
        <wp:anchor allowOverlap="true" behindDoc="true" distB="0" distL="114300" distR="114300" distT="0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0</wp:posOffset>
          </wp:positionV>
          <wp:extent cx="5933440" cy="5933440"/>
          <wp:effectExtent b="0" l="0" r="0" t="0"/>
          <wp:wrapNone/>
          <wp:docPr hidden="false" id="7" name="Picture 7"/>
          <a:graphic>
            <a:graphicData uri="http://schemas.openxmlformats.org/drawingml/2006/picture">
              <pic:pic>
                <pic:nvPicPr>
                  <pic:cNvPr hidden="false" id="8" name="Picture 8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933440" cy="593344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pStyle w:val="Style_1"/>
      <w:ind/>
      <w:jc w:val="center"/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PAGE </w:instrText>
    </w:r>
    <w:r>
      <w:rPr>
        <w:rFonts w:ascii="Calibri" w:hAnsi="Calibri"/>
      </w:rPr>
      <w:fldChar w:fldCharType="separate"/>
    </w:r>
    <w:r>
      <w:rPr>
        <w:rFonts w:ascii="Calibri" w:hAnsi="Calibri"/>
      </w:rPr>
      <w:t xml:space="preserve"> </w:t>
    </w:r>
    <w:r>
      <w:rPr>
        <w:rFonts w:ascii="Calibri" w:hAnsi="Calibri"/>
      </w:rPr>
      <w:fldChar w:fldCharType="end"/>
    </w:r>
  </w:p>
  <w:p w14:paraId="0B000000">
    <w:pPr>
      <w:tabs>
        <w:tab w:leader="none" w:pos="4677" w:val="center"/>
        <w:tab w:leader="none" w:pos="9355" w:val="right"/>
      </w:tabs>
      <w:spacing w:after="0" w:line="240" w:lineRule="auto"/>
      <w:ind/>
    </w:pPr>
    <w:r>
      <w:drawing>
        <wp:anchor allowOverlap="true" behindDoc="true" distB="0" distL="114300" distR="114300" distT="0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0</wp:posOffset>
          </wp:positionV>
          <wp:extent cx="5933440" cy="5933440"/>
          <wp:effectExtent b="0" l="0" r="0" t="0"/>
          <wp:wrapNone/>
          <wp:docPr hidden="false" id="9" name="Picture 9"/>
          <a:graphic>
            <a:graphicData uri="http://schemas.openxmlformats.org/drawingml/2006/picture">
              <pic:pic>
                <pic:nvPicPr>
                  <pic:cNvPr hidden="false" id="10" name="Picture 10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933440" cy="5933440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lvlJc w:val="left"/>
      <w:pPr>
        <w:ind w:hanging="360" w:left="1068"/>
      </w:pPr>
    </w:lvl>
    <w:lvl w:ilvl="1">
      <w:start w:val="1"/>
      <w:numFmt w:val="lowerLetter"/>
      <w:lvlText w:val="%2."/>
      <w:lvlJc w:val="left"/>
      <w:pPr>
        <w:ind w:hanging="360" w:left="1788"/>
      </w:pPr>
    </w:lvl>
    <w:lvl w:ilvl="2">
      <w:start w:val="1"/>
      <w:numFmt w:val="lowerRoman"/>
      <w:lvlText w:val="%3."/>
      <w:lvlJc w:val="right"/>
      <w:pPr>
        <w:ind w:hanging="180" w:left="2508"/>
      </w:pPr>
    </w:lvl>
    <w:lvl w:ilvl="3">
      <w:start w:val="1"/>
      <w:numFmt w:val="decimal"/>
      <w:lvlText w:val="%4."/>
      <w:lvlJc w:val="left"/>
      <w:pPr>
        <w:ind w:hanging="360" w:left="3228"/>
      </w:pPr>
    </w:lvl>
    <w:lvl w:ilvl="4">
      <w:start w:val="1"/>
      <w:numFmt w:val="lowerLetter"/>
      <w:lvlText w:val="%5."/>
      <w:lvlJc w:val="left"/>
      <w:pPr>
        <w:ind w:hanging="360" w:left="3948"/>
      </w:pPr>
    </w:lvl>
    <w:lvl w:ilvl="5">
      <w:start w:val="1"/>
      <w:numFmt w:val="lowerRoman"/>
      <w:lvlText w:val="%6."/>
      <w:lvlJc w:val="right"/>
      <w:pPr>
        <w:ind w:hanging="180" w:left="4668"/>
      </w:pPr>
    </w:lvl>
    <w:lvl w:ilvl="6">
      <w:start w:val="1"/>
      <w:numFmt w:val="decimal"/>
      <w:lvlText w:val="%7."/>
      <w:lvlJc w:val="left"/>
      <w:pPr>
        <w:ind w:hanging="360" w:left="5388"/>
      </w:pPr>
    </w:lvl>
    <w:lvl w:ilvl="7">
      <w:start w:val="1"/>
      <w:numFmt w:val="lowerLetter"/>
      <w:lvlText w:val="%8."/>
      <w:lvlJc w:val="left"/>
      <w:pPr>
        <w:ind w:hanging="360" w:left="6108"/>
      </w:pPr>
    </w:lvl>
    <w:lvl w:ilvl="8">
      <w:start w:val="1"/>
      <w:numFmt w:val="lowerRoman"/>
      <w:lvlText w:val="%9."/>
      <w:lvlJc w:val="right"/>
      <w:pPr>
        <w:ind w:hanging="180" w:left="6828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420" w:left="780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862"/>
      </w:pPr>
      <w:rPr>
        <w:rFonts w:ascii="Times New Roman" w:hAnsi="Times New Roman"/>
        <w:sz w:val="24"/>
      </w:rPr>
    </w:lvl>
    <w:lvl w:ilvl="1">
      <w:start w:val="1"/>
      <w:numFmt w:val="bullet"/>
      <w:lvlText w:val="•"/>
      <w:lvlJc w:val="left"/>
      <w:pPr>
        <w:ind w:hanging="360" w:left="1734"/>
      </w:pPr>
    </w:lvl>
    <w:lvl w:ilvl="2">
      <w:start w:val="1"/>
      <w:numFmt w:val="bullet"/>
      <w:lvlText w:val="•"/>
      <w:lvlJc w:val="left"/>
      <w:pPr>
        <w:ind w:hanging="360" w:left="2609"/>
      </w:pPr>
    </w:lvl>
    <w:lvl w:ilvl="3">
      <w:start w:val="1"/>
      <w:numFmt w:val="bullet"/>
      <w:lvlText w:val="•"/>
      <w:lvlJc w:val="left"/>
      <w:pPr>
        <w:ind w:hanging="360" w:left="3483"/>
      </w:pPr>
    </w:lvl>
    <w:lvl w:ilvl="4">
      <w:start w:val="1"/>
      <w:numFmt w:val="bullet"/>
      <w:lvlText w:val="•"/>
      <w:lvlJc w:val="left"/>
      <w:pPr>
        <w:ind w:hanging="360" w:left="4358"/>
      </w:pPr>
    </w:lvl>
    <w:lvl w:ilvl="5">
      <w:start w:val="1"/>
      <w:numFmt w:val="bullet"/>
      <w:lvlText w:val="•"/>
      <w:lvlJc w:val="left"/>
      <w:pPr>
        <w:ind w:hanging="360" w:left="5233"/>
      </w:pPr>
    </w:lvl>
    <w:lvl w:ilvl="6">
      <w:start w:val="1"/>
      <w:numFmt w:val="bullet"/>
      <w:lvlText w:val="•"/>
      <w:lvlJc w:val="left"/>
      <w:pPr>
        <w:ind w:hanging="360" w:left="6107"/>
      </w:pPr>
    </w:lvl>
    <w:lvl w:ilvl="7">
      <w:start w:val="1"/>
      <w:numFmt w:val="bullet"/>
      <w:lvlText w:val="•"/>
      <w:lvlJc w:val="left"/>
      <w:pPr>
        <w:ind w:hanging="360" w:left="6982"/>
      </w:pPr>
    </w:lvl>
    <w:lvl w:ilvl="8">
      <w:start w:val="1"/>
      <w:numFmt w:val="bullet"/>
      <w:lvlText w:val="•"/>
      <w:lvlJc w:val="left"/>
      <w:pPr>
        <w:ind w:hanging="360" w:left="7857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160" w:line="264" w:lineRule="auto"/>
      <w:ind/>
    </w:pPr>
    <w:rPr>
      <w:rFonts w:ascii="Calibri" w:hAnsi="Calibri"/>
    </w:rPr>
  </w:style>
  <w:style w:default="1" w:styleId="Style_3_ch" w:type="character">
    <w:name w:val="Normal"/>
    <w:link w:val="Style_3"/>
    <w:rPr>
      <w:rFonts w:ascii="Calibri" w:hAnsi="Calibri"/>
    </w:rPr>
  </w:style>
  <w:style w:styleId="Style_5" w:type="paragraph">
    <w:name w:val="toc 2"/>
    <w:next w:val="Style_3"/>
    <w:link w:val="Style_5_ch"/>
    <w:uiPriority w:val="39"/>
    <w:pPr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Основной шрифт абзаца1"/>
    <w:link w:val="Style_6_ch"/>
  </w:style>
  <w:style w:styleId="Style_6_ch" w:type="character">
    <w:name w:val="Основной шрифт абзаца1"/>
    <w:link w:val="Style_6"/>
  </w:style>
  <w:style w:styleId="Style_7" w:type="paragraph">
    <w:name w:val="toc 4"/>
    <w:next w:val="Style_3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3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FollowedHyperlink"/>
    <w:basedOn w:val="Style_11"/>
    <w:link w:val="Style_10_ch"/>
    <w:rPr>
      <w:color w:themeColor="followedHyperlink" w:val="800080"/>
      <w:u w:val="single"/>
    </w:rPr>
  </w:style>
  <w:style w:styleId="Style_10_ch" w:type="character">
    <w:name w:val="FollowedHyperlink"/>
    <w:basedOn w:val="Style_11_ch"/>
    <w:link w:val="Style_10"/>
    <w:rPr>
      <w:color w:themeColor="followedHyperlink" w:val="800080"/>
      <w:u w:val="single"/>
    </w:rPr>
  </w:style>
  <w:style w:styleId="Style_12" w:type="paragraph">
    <w:name w:val="Endnote"/>
    <w:link w:val="Style_12_ch"/>
    <w:pPr>
      <w:ind w:firstLine="851" w:left="0"/>
      <w:jc w:val="both"/>
    </w:pPr>
    <w:rPr>
      <w:rFonts w:ascii="XO Thames" w:hAnsi="XO Thames"/>
    </w:rPr>
  </w:style>
  <w:style w:styleId="Style_12_ch" w:type="character">
    <w:name w:val="Endnote"/>
    <w:link w:val="Style_12"/>
    <w:rPr>
      <w:rFonts w:ascii="XO Thames" w:hAnsi="XO Thames"/>
    </w:rPr>
  </w:style>
  <w:style w:styleId="Style_13" w:type="paragraph">
    <w:name w:val="heading 3"/>
    <w:next w:val="Style_3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4" w:type="paragraph">
    <w:name w:val="Гиперссылка1"/>
    <w:link w:val="Style_4_ch"/>
    <w:rPr>
      <w:color w:val="0000FF"/>
      <w:u w:val="single"/>
    </w:rPr>
  </w:style>
  <w:style w:styleId="Style_4_ch" w:type="character">
    <w:name w:val="Гиперссылка1"/>
    <w:link w:val="Style_4"/>
    <w:rPr>
      <w:color w:val="0000FF"/>
      <w:u w:val="single"/>
    </w:rPr>
  </w:style>
  <w:style w:styleId="Style_14" w:type="paragraph">
    <w:name w:val="toc 3"/>
    <w:next w:val="Style_3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3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5_ch" w:type="character">
    <w:name w:val="heading 5"/>
    <w:link w:val="Style_15"/>
    <w:rPr>
      <w:rFonts w:ascii="XO Thames" w:hAnsi="XO Thames"/>
      <w:b w:val="1"/>
    </w:rPr>
  </w:style>
  <w:style w:styleId="Style_16" w:type="paragraph">
    <w:name w:val="heading 1"/>
    <w:next w:val="Style_3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</w:rPr>
  </w:style>
  <w:style w:styleId="Style_18_ch" w:type="character">
    <w:name w:val="Footnote"/>
    <w:link w:val="Style_18"/>
    <w:rPr>
      <w:rFonts w:ascii="XO Thames" w:hAnsi="XO Thames"/>
    </w:rPr>
  </w:style>
  <w:style w:styleId="Style_19" w:type="paragraph">
    <w:name w:val="toc 1"/>
    <w:next w:val="Style_3"/>
    <w:link w:val="Style_19_ch"/>
    <w:uiPriority w:val="39"/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8"/>
    </w:rPr>
  </w:style>
  <w:style w:styleId="Style_20_ch" w:type="character">
    <w:name w:val="Header and Footer"/>
    <w:link w:val="Style_20"/>
    <w:rPr>
      <w:rFonts w:ascii="XO Thames" w:hAnsi="XO Thames"/>
      <w:sz w:val="28"/>
    </w:rPr>
  </w:style>
  <w:style w:styleId="Style_21" w:type="paragraph">
    <w:name w:val="toc 9"/>
    <w:next w:val="Style_3"/>
    <w:link w:val="Style_21_ch"/>
    <w:uiPriority w:val="39"/>
    <w:pPr>
      <w:ind w:firstLine="0" w:left="1600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3"/>
    <w:link w:val="Style_22_ch"/>
    <w:uiPriority w:val="39"/>
    <w:pPr>
      <w:ind w:firstLine="0" w:left="1400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3"/>
    <w:link w:val="Style_23_ch"/>
    <w:uiPriority w:val="39"/>
    <w:pPr>
      <w:ind w:firstLine="0" w:left="800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24" w:type="paragraph">
    <w:name w:val="Subtitle"/>
    <w:next w:val="Style_3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" w:type="paragraph">
    <w:name w:val="Title"/>
    <w:basedOn w:val="Style_3"/>
    <w:next w:val="Style_3"/>
    <w:link w:val="Style_2_ch"/>
    <w:uiPriority w:val="10"/>
    <w:qFormat/>
    <w:pPr>
      <w:spacing w:after="300" w:line="240" w:lineRule="auto"/>
      <w:ind/>
      <w:contextualSpacing w:val="1"/>
    </w:pPr>
    <w:rPr>
      <w:rFonts w:asciiTheme="majorAscii" w:hAnsiTheme="majorHAnsi"/>
      <w:color w:themeColor="text2" w:themeShade="BF" w:val="17375E"/>
      <w:spacing w:val="5"/>
      <w:sz w:val="52"/>
    </w:rPr>
  </w:style>
  <w:style w:styleId="Style_2_ch" w:type="character">
    <w:name w:val="Title"/>
    <w:basedOn w:val="Style_3_ch"/>
    <w:link w:val="Style_2"/>
    <w:rPr>
      <w:rFonts w:asciiTheme="majorAscii" w:hAnsiTheme="majorHAnsi"/>
      <w:color w:themeColor="text2" w:themeShade="BF" w:val="17375E"/>
      <w:spacing w:val="5"/>
      <w:sz w:val="52"/>
    </w:rPr>
  </w:style>
  <w:style w:styleId="Style_1" w:type="paragraph">
    <w:name w:val="header"/>
    <w:basedOn w:val="Style_3"/>
    <w:link w:val="Style_1_ch"/>
    <w:pPr>
      <w:tabs>
        <w:tab w:leader="none" w:pos="4680" w:val="center"/>
        <w:tab w:leader="none" w:pos="9360" w:val="right"/>
      </w:tabs>
      <w:spacing w:after="0" w:line="240" w:lineRule="auto"/>
      <w:ind/>
    </w:pPr>
    <w:rPr>
      <w:rFonts w:asciiTheme="minorAscii" w:hAnsiTheme="minorHAnsi"/>
    </w:rPr>
  </w:style>
  <w:style w:styleId="Style_1_ch" w:type="character">
    <w:name w:val="header"/>
    <w:basedOn w:val="Style_3_ch"/>
    <w:link w:val="Style_1"/>
    <w:rPr>
      <w:rFonts w:asciiTheme="minorAscii" w:hAnsiTheme="minorHAnsi"/>
    </w:rPr>
  </w:style>
  <w:style w:styleId="Style_25" w:type="paragraph">
    <w:name w:val="heading 4"/>
    <w:next w:val="Style_3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3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27" w:type="paragraph">
    <w:name w:val="Обычный1"/>
    <w:link w:val="Style_27_ch"/>
    <w:rPr>
      <w:rFonts w:ascii="Calibri" w:hAnsi="Calibri"/>
    </w:rPr>
  </w:style>
  <w:style w:styleId="Style_27_ch" w:type="character">
    <w:name w:val="Обычный1"/>
    <w:link w:val="Style_27"/>
    <w:rPr>
      <w:rFonts w:ascii="Calibri" w:hAnsi="Calibri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footnotes.xml" Type="http://schemas.openxmlformats.org/officeDocument/2006/relationships/footnotes"/>
  <Relationship Id="rId17" Target="media/11.png" Type="http://schemas.openxmlformats.org/officeDocument/2006/relationships/image"/>
  <Relationship Id="rId7" Target="header7.xml" Type="http://schemas.openxmlformats.org/officeDocument/2006/relationships/header"/>
  <Relationship Id="rId26" Target="numbering.xml" Type="http://schemas.openxmlformats.org/officeDocument/2006/relationships/numbering"/>
  <Relationship Id="rId6" Target="footer6.xml" Type="http://schemas.openxmlformats.org/officeDocument/2006/relationships/footer"/>
  <Relationship Id="rId14" Target="media/8.png" Type="http://schemas.openxmlformats.org/officeDocument/2006/relationships/image"/>
  <Relationship Id="rId13" Target="media/7.png" Type="http://schemas.openxmlformats.org/officeDocument/2006/relationships/image"/>
  <Relationship Id="rId22" Target="webSettings.xml" Type="http://schemas.openxmlformats.org/officeDocument/2006/relationships/webSettings"/>
  <Relationship Id="rId18" Target="fontTable.xml" Type="http://schemas.openxmlformats.org/officeDocument/2006/relationships/fontTable"/>
  <Relationship Id="rId4" Target="footer4.xml" Type="http://schemas.openxmlformats.org/officeDocument/2006/relationships/footer"/>
  <Relationship Id="rId3" Target="header3.xml" Type="http://schemas.openxmlformats.org/officeDocument/2006/relationships/header"/>
  <Relationship Id="rId12" Target="footer12.xml" Type="http://schemas.openxmlformats.org/officeDocument/2006/relationships/footer"/>
  <Relationship Id="rId25" Target="endnotes.xml" Type="http://schemas.openxmlformats.org/officeDocument/2006/relationships/endnotes"/>
  <Relationship Id="rId10" Target="footer10.xml" Type="http://schemas.openxmlformats.org/officeDocument/2006/relationships/footer"/>
  <Relationship Id="rId19" Target="settings.xml" Type="http://schemas.openxmlformats.org/officeDocument/2006/relationships/settings"/>
  <Relationship Id="rId5" Target="header5.xml" Type="http://schemas.openxmlformats.org/officeDocument/2006/relationships/header"/>
  <Relationship Id="rId11" Target="header11.xml" Type="http://schemas.openxmlformats.org/officeDocument/2006/relationships/header"/>
  <Relationship Id="rId8" Target="footer8.xml" Type="http://schemas.openxmlformats.org/officeDocument/2006/relationships/footer"/>
  <Relationship Id="rId16" Target="media/10.png" Type="http://schemas.openxmlformats.org/officeDocument/2006/relationships/image"/>
  <Relationship Id="rId20" Target="styles.xml" Type="http://schemas.openxmlformats.org/officeDocument/2006/relationships/styles"/>
  <Relationship Id="rId2" Target="footer2.xml" Type="http://schemas.openxmlformats.org/officeDocument/2006/relationships/footer"/>
  <Relationship Id="rId21" Target="stylesWithEffects.xml" Type="http://schemas.microsoft.com/office/2007/relationships/stylesWithEffects"/>
  <Relationship Id="rId9" Target="header9.xml" Type="http://schemas.openxmlformats.org/officeDocument/2006/relationships/header"/>
  <Relationship Id="rId15" Target="media/9.png" Type="http://schemas.openxmlformats.org/officeDocument/2006/relationships/image"/>
  <Relationship Id="rId23" Target="theme/theme1.xml" Type="http://schemas.openxmlformats.org/officeDocument/2006/relationships/theme"/>
  <Relationship Id="rId1" Target="header1.xml" Type="http://schemas.openxmlformats.org/officeDocument/2006/relationships/header"/>
</Relationships>

</file>

<file path=word/_rels/header1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_rels/header11.xml.rels><?xml version="1.0" encoding="UTF-8" standalone="no" ?>
<Relationships xmlns="http://schemas.openxmlformats.org/package/2006/relationships">
  <Relationship Id="rId1" Target="media/6.png" Type="http://schemas.openxmlformats.org/officeDocument/2006/relationships/image"/>
</Relationships>

</file>

<file path=word/_rels/header3.xml.rels><?xml version="1.0" encoding="UTF-8" standalone="no" ?>
<Relationships xmlns="http://schemas.openxmlformats.org/package/2006/relationships">
  <Relationship Id="rId1" Target="media/2.png" Type="http://schemas.openxmlformats.org/officeDocument/2006/relationships/image"/>
</Relationships>

</file>

<file path=word/_rels/header5.xml.rels><?xml version="1.0" encoding="UTF-8" standalone="no" ?>
<Relationships xmlns="http://schemas.openxmlformats.org/package/2006/relationships">
  <Relationship Id="rId1" Target="media/3.png" Type="http://schemas.openxmlformats.org/officeDocument/2006/relationships/image"/>
</Relationships>

</file>

<file path=word/_rels/header7.xml.rels><?xml version="1.0" encoding="UTF-8" standalone="no" ?>
<Relationships xmlns="http://schemas.openxmlformats.org/package/2006/relationships">
  <Relationship Id="rId1" Target="media/4.png" Type="http://schemas.openxmlformats.org/officeDocument/2006/relationships/image"/>
</Relationships>

</file>

<file path=word/_rels/header9.xml.rels><?xml version="1.0" encoding="UTF-8" standalone="no" ?>
<Relationships xmlns="http://schemas.openxmlformats.org/package/2006/relationships">
  <Relationship Id="rId1" Target="media/5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2024-02-01T10:41:29Z</dcterms:modified>
</cp:coreProperties>
</file>